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18.06.2020 N 354н</w:t>
              <w:br/>
              <w:t xml:space="preserve">"Об утверждении профессионального стандарта "Социальный работник"</w:t>
              <w:br/>
              <w:t xml:space="preserve">(Зарегистрировано в Минюсте России 20.07.2020 N 59014)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20 июля 2020 г. N 59014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18 июня 2020 г. N 354н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ПРОФЕССИОНАЛЬНОГО СТАНДАРТА</w:t>
      </w:r>
    </w:p>
    <w:p>
      <w:pPr>
        <w:pStyle w:val="2"/>
        <w:jc w:val="center"/>
      </w:pPr>
      <w:r>
        <w:rPr>
          <w:sz w:val="24"/>
        </w:rPr>
        <w:t xml:space="preserve">"СОЦИАЛЬНЫЙ РАБОТНИК"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22.01.2013 N 23 (ред. от 27.10.2021) &quot;О Правилах разработки и утверждения профессиональных стандартов&quot; ------------ Утратил силу или отменен {КонсультантПлюс}">
        <w:r>
          <w:rPr>
            <w:sz w:val="24"/>
            <w:color w:val="0000ff"/>
          </w:rPr>
          <w:t xml:space="preserve">пунктом 16</w:t>
        </w:r>
      </w:hyperlink>
      <w:r>
        <w:rPr>
          <w:sz w:val="24"/>
        </w:rP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профессиональный </w:t>
      </w:r>
      <w:hyperlink w:history="0" w:anchor="P29" w:tooltip="ПРОФЕССИОНАЛЬНЫЙ 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"Социальный работник".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Минтруда России от 18.11.2013 N 677н &quot;Об утверждении профессионального стандарта &quot;Социальный работник&quot; (Зарегистрировано в Минюсте России 18.12.2013 N 30627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18 ноября 2013 г. N 677н "Об утверждении профессионального стандарта "Социальный работник" (зарегистрирован Министерством юстиции Российской Федерации 18 декабря 2013 г., регистрационный N 30627).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июня 2020 г. N 354н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ПРОФЕССИОНАЛЬНЫЙ СТАНДАРТ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СОЦИАЛЬНЫЙ РАБОТНИК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63"/>
        <w:gridCol w:w="2608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646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сведения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30"/>
        <w:gridCol w:w="340"/>
        <w:gridCol w:w="1701"/>
      </w:tblGrid>
      <w:tr>
        <w:tblPrEx>
          <w:tblBorders>
            <w:right w:val="single" w:sz="4"/>
          </w:tblBorders>
        </w:tblPrEx>
        <w:tc>
          <w:tcPr>
            <w:tcW w:w="703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социальных услуг получателям социальных услуг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03.002</w:t>
            </w:r>
          </w:p>
        </w:tc>
      </w:tr>
      <w:tr>
        <w:tc>
          <w:tcPr>
            <w:tcW w:w="703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вида профессиональной деятельности)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Основная цель вида профессиональной деятельности: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социальных услуг получателям социальных услуг в целях улучшения условий жизнедеятельности и (или) расширения их возможностей самостоятельно обеспечивать свои основные жизненные потребности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Группа занятий: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1"/>
        <w:gridCol w:w="3175"/>
        <w:gridCol w:w="1644"/>
        <w:gridCol w:w="2551"/>
      </w:tblGrid>
      <w:tr>
        <w:tblPrEx>
          <w:tblBorders>
            <w:left w:val="single" w:sz="4"/>
            <w:right w:val="single" w:sz="4"/>
            <w:insideV w:val="single" w:sz="4"/>
          </w:tblBorders>
        </w:tblPrEx>
        <w:tc>
          <w:tcPr>
            <w:tcW w:w="1701" w:type="dxa"/>
          </w:tcPr>
          <w:p>
            <w:pPr>
              <w:pStyle w:val="0"/>
            </w:pPr>
            <w:hyperlink w:history="0" r:id="rId10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3412</w:t>
              </w:r>
            </w:hyperlink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Социальные работники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70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(код </w:t>
            </w:r>
            <w:hyperlink w:history="0" r:id="rId11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  <w:r>
              <w:rPr>
                <w:sz w:val="24"/>
              </w:rPr>
              <w:t xml:space="preserve"> </w:t>
            </w:r>
            <w:hyperlink w:history="0" w:anchor="P541" w:tooltip="&lt;1&gt; Общероссийский классификатор занятий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(код </w:t>
            </w:r>
            <w:hyperlink w:history="0" r:id="rId12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Отнесение к видам экономической деятельности: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41"/>
        <w:gridCol w:w="7030"/>
      </w:tblGrid>
      <w:tr>
        <w:tc>
          <w:tcPr>
            <w:tcW w:w="2041" w:type="dxa"/>
          </w:tcPr>
          <w:p>
            <w:pPr>
              <w:pStyle w:val="0"/>
            </w:pPr>
            <w:hyperlink w:history="0" r:id="rId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87.10</w:t>
              </w:r>
            </w:hyperlink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4"/>
              </w:rPr>
              <w:t xml:space="preserve">Деятельность по медицинскому уходу с обеспечением проживания</w:t>
            </w:r>
          </w:p>
        </w:tc>
      </w:tr>
      <w:tr>
        <w:tc>
          <w:tcPr>
            <w:tcW w:w="2041" w:type="dxa"/>
          </w:tcPr>
          <w:p>
            <w:pPr>
              <w:pStyle w:val="0"/>
            </w:pPr>
            <w:hyperlink w:history="0"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87.20</w:t>
              </w:r>
            </w:hyperlink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4"/>
              </w:rPr>
              <w:t xml:space="preserve">Деятельность по оказанию помощи на дому лицам с ограниченными возможностями развития, душевнобольным и наркозависимым</w:t>
            </w:r>
          </w:p>
        </w:tc>
      </w:tr>
      <w:tr>
        <w:tc>
          <w:tcPr>
            <w:tcW w:w="2041" w:type="dxa"/>
          </w:tcPr>
          <w:p>
            <w:pPr>
              <w:pStyle w:val="0"/>
            </w:pPr>
            <w:hyperlink w:history="0"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87.30</w:t>
              </w:r>
            </w:hyperlink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4"/>
              </w:rPr>
              <w:t xml:space="preserve">Деятельность по уходу за престарелыми и инвалидами с обеспечением проживания</w:t>
            </w:r>
          </w:p>
        </w:tc>
      </w:tr>
      <w:tr>
        <w:tc>
          <w:tcPr>
            <w:tcW w:w="2041" w:type="dxa"/>
          </w:tcPr>
          <w:p>
            <w:pPr>
              <w:pStyle w:val="0"/>
            </w:pPr>
            <w:hyperlink w:history="0"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87.90</w:t>
              </w:r>
            </w:hyperlink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4"/>
              </w:rPr>
              <w:t xml:space="preserve">Деятельность по уходу с обеспечением проживания прочая</w:t>
            </w:r>
          </w:p>
        </w:tc>
      </w:tr>
      <w:tr>
        <w:tc>
          <w:tcPr>
            <w:tcW w:w="2041" w:type="dxa"/>
          </w:tcPr>
          <w:p>
            <w:pPr>
              <w:pStyle w:val="0"/>
            </w:pPr>
            <w:hyperlink w:history="0"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88.10</w:t>
              </w:r>
            </w:hyperlink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социальных услуг без обеспечения проживания престарелым и инвалидам</w:t>
            </w:r>
          </w:p>
        </w:tc>
      </w:tr>
      <w:tr>
        <w:tc>
          <w:tcPr>
            <w:tcW w:w="2041" w:type="dxa"/>
          </w:tcPr>
          <w:p>
            <w:pPr>
              <w:pStyle w:val="0"/>
            </w:pPr>
            <w:hyperlink w:history="0" r:id="rId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88.91</w:t>
              </w:r>
            </w:hyperlink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услуг по дневному уходу за детьми</w:t>
            </w:r>
          </w:p>
        </w:tc>
      </w:tr>
      <w:tr>
        <w:tc>
          <w:tcPr>
            <w:tcW w:w="2041" w:type="dxa"/>
          </w:tcPr>
          <w:p>
            <w:pPr>
              <w:pStyle w:val="0"/>
            </w:pPr>
            <w:hyperlink w:history="0" r:id="rId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88.99</w:t>
              </w:r>
            </w:hyperlink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прочих социальных услуг без обеспечения проживания, не включенных в другие группировки</w:t>
            </w:r>
          </w:p>
        </w:tc>
      </w:tr>
      <w:tr>
        <w:tblPrEx>
          <w:tblBorders>
            <w:left w:val="nil"/>
            <w:right w:val="nil"/>
            <w:insideV w:val="nil"/>
          </w:tblBorders>
        </w:tblPrEx>
        <w:tc>
          <w:tcPr>
            <w:tcW w:w="204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(код </w:t>
            </w:r>
            <w:hyperlink w:history="0"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ОКВЭД</w:t>
              </w:r>
            </w:hyperlink>
            <w:r>
              <w:rPr>
                <w:sz w:val="24"/>
              </w:rPr>
              <w:t xml:space="preserve"> </w:t>
            </w:r>
            <w:hyperlink w:history="0" w:anchor="P542" w:tooltip="&lt;2&gt; Общероссийский классификатор видов экономической деятельности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703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вида экономической деятельности)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Описание трудовых функций, входящих в профессиональный</w:t>
      </w:r>
    </w:p>
    <w:p>
      <w:pPr>
        <w:pStyle w:val="2"/>
        <w:jc w:val="center"/>
      </w:pPr>
      <w:r>
        <w:rPr>
          <w:sz w:val="24"/>
        </w:rPr>
        <w:t xml:space="preserve">стандарт (функциональная карта вида</w:t>
      </w:r>
    </w:p>
    <w:p>
      <w:pPr>
        <w:pStyle w:val="2"/>
        <w:jc w:val="center"/>
      </w:pPr>
      <w:r>
        <w:rPr>
          <w:sz w:val="24"/>
        </w:rPr>
        <w:t xml:space="preserve">профессиональной деятельности)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984"/>
        <w:gridCol w:w="964"/>
        <w:gridCol w:w="3855"/>
        <w:gridCol w:w="794"/>
        <w:gridCol w:w="964"/>
      </w:tblGrid>
      <w:tr>
        <w:tc>
          <w:tcPr>
            <w:gridSpan w:val="3"/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Обобщенные трудовые функции</w:t>
            </w:r>
          </w:p>
        </w:tc>
        <w:tc>
          <w:tcPr>
            <w:gridSpan w:val="3"/>
            <w:tcW w:w="56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Трудовые функции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квалификации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социальных услуг получателям социальных услуг в различных формах социального обслуживания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социально-бытовых услуг получателям социальных услуг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A/01.4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социально-медицинских услуг получателям социальных услуг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A/02.4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социально-психологических услуг получателям социальных услуг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A/03.4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социально-педагогических услуг получателям социальных услуг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A/04.4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социально-правовых услуг получателям социальных услуг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A/05.4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социально-трудовых услуг получателям социальных услуг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A/06.4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A/07.4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срочных социальных услуг получателям социальных услуг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A/08.4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Характеристика обобщенных трудовых функций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3.1. Обобщенная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624"/>
        <w:gridCol w:w="794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социальных услуг получателям социальных услуг в различных формах социального обслуживания</w:t>
            </w:r>
          </w:p>
        </w:tc>
        <w:tc>
          <w:tcPr>
            <w:tcW w:w="62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9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4"/>
        <w:gridCol w:w="454"/>
        <w:gridCol w:w="1701"/>
        <w:gridCol w:w="1191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обобщенной трудовой функции</w:t>
            </w:r>
          </w:p>
        </w:tc>
        <w:tc>
          <w:tcPr>
            <w:tcW w:w="1304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75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6520"/>
      </w:tblGrid>
      <w:tr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Социальный работник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6520"/>
      </w:tblGrid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образованию и обучению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Среднее профессиональное образование - программы подготовки квалифицированных рабочих, служащих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Среднее общее образование и профессиональное обучение - программы профессиональной подготовки по профессиям рабочих, должностям служащих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Среднее общее образование и краткосрочное обучение или инструктаж на рабочем месте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опыту практической работы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Особые условия допуска к работе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Прохождение учебного курса по оказанию первой помощи до оказания медицинской помощи </w:t>
            </w:r>
            <w:hyperlink w:history="0" w:anchor="P543" w:tooltip="&lt;3&gt; Статья 31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Отсутствие судимости за преступления, состав и виды которых установлены законодательством Российской Федерации </w:t>
            </w:r>
            <w:hyperlink w:history="0" w:anchor="P544" w:tooltip="&lt;4&gt; Статья 351.1 Трудового кодекса Российской Федерации, (Собрание законодательства Российской Федерации, 2002, N 1, ст. 3; 2015, N 29, ст. 4363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  <w:hyperlink w:history="0" w:anchor="P545" w:tooltip="&lt;5&gt; Приказ Минздравсоцразвития России от 12 апреля 2011 г. N 302н &quot;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&quot; (зарегистрирован Минюстом России 21 октября 2..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Дополнительные характеристики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247"/>
        <w:gridCol w:w="4989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документа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49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базовой группы, должности (профессии) или специальности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hyperlink w:history="0" r:id="rId21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</w:p>
        </w:tc>
        <w:tc>
          <w:tcPr>
            <w:tcW w:w="1247" w:type="dxa"/>
          </w:tcPr>
          <w:p>
            <w:pPr>
              <w:pStyle w:val="0"/>
            </w:pPr>
            <w:hyperlink w:history="0" r:id="rId22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3412</w:t>
              </w:r>
            </w:hyperlink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Социальные работники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hyperlink w:history="0" r:id="rId2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ОКПДТР</w:t>
              </w:r>
            </w:hyperlink>
            <w:r>
              <w:rPr>
                <w:sz w:val="24"/>
              </w:rPr>
              <w:t xml:space="preserve"> </w:t>
            </w:r>
            <w:hyperlink w:history="0" w:anchor="P546" w:tooltip="&lt;6&gt; Общероссийский классификатор профессий рабочих, должностей служащих и тарифных разрядов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tcW w:w="1247" w:type="dxa"/>
          </w:tcPr>
          <w:p>
            <w:pPr>
              <w:pStyle w:val="0"/>
            </w:pPr>
            <w:hyperlink w:history="0" r:id="rId2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26527</w:t>
              </w:r>
            </w:hyperlink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работник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hyperlink w:history="0" r:id="rId2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ОКСО</w:t>
              </w:r>
            </w:hyperlink>
            <w:r>
              <w:rPr>
                <w:sz w:val="24"/>
              </w:rPr>
              <w:t xml:space="preserve"> </w:t>
            </w:r>
            <w:hyperlink w:history="0" w:anchor="P547" w:tooltip="&lt;7&gt; Общероссийский классификатор специальностей по образованию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1247" w:type="dxa"/>
          </w:tcPr>
          <w:p>
            <w:pPr>
              <w:pStyle w:val="0"/>
            </w:pPr>
            <w:hyperlink w:history="0" r:id="rId2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5.39.01.01</w:t>
              </w:r>
            </w:hyperlink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работник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3.1.1.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624"/>
        <w:gridCol w:w="794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социально-бытовых услуг получателям социальных услуг</w:t>
            </w:r>
          </w:p>
        </w:tc>
        <w:tc>
          <w:tcPr>
            <w:tcW w:w="62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9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A/01.4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4"/>
        <w:gridCol w:w="454"/>
        <w:gridCol w:w="1701"/>
        <w:gridCol w:w="1191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304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75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Покупка и доставка на дом продуктов питания, промышленных товаров первой необходимости, средств санитарии и гигиены, лекарственных средств и изделий медицинского назначения, средств ухода, книг, газет, журналов за счет средств получателя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Помощь в приготовлении и приеме пищи (кормление)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Оплата социальных услуг, жилищно-коммунальных услуг и услуг связи за счет средств получателя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Сдача вещей в стирку, химчистку, ремонт, обратная их доставка за счет средств получателя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Покупка топлива, топка печей, обеспечение водой (в жилых помещениях без центрального отопления и (или) водоснабжения) за счет средств получателя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помощи в проведении ремонта жилых помещений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Уборка жилых помещений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гигиенических услуг лицам, не способным по состоянию здоровья самостоятельно осуществлять уход за собой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Отправка почтовой корреспонденции за счет средств получателя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кратковременного присмотра за детьми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социальных услуг, определенных нормативными правовыми актами субъекта Российской Федерации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с различными категориями получателей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Готовить пищу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Осуществлять эксплуатацию печи (закладку и розжиг топлива, вынос золы)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Выполнять санитарно-гигиенические процедуры в отношении получателей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приобретение и доставку товаров первой необходимости (воды, продуктов, топлива, средств санитарии и гигиены, лекарственных средств и изделий медицинского назначения, средств ухода, книг, газет, журналов)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Производить уборку жилых помещений, в том числе с помощью специальных моющих и подручных средств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Снимать показания счетчиков электро-, газо- и водоснабжения, заполнять квитанции на оплату жилищно-коммунальных услуг, в том числе с использованием Единого портала государственных и муниципальных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с организациями, предоставляющими услуги населению по стирке, ремонту, химчистке вещей, уборке помещений, ремонту жилых помещений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Оформлять документацию по направлениям своей деятельности, в том числе в электронном виде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информационно-коммуникационные технологии, в том числе интернет-ресурсы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Виды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безопасности труда социального работника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Элементарные правила приготовления пищи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и принципы ведения домашнего хозяйства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ухода за престарелыми и инвалидами в домашних условиях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личной гигиены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взаимодействия с пожилыми людьми и инвалидами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этики в социальной работе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оказания ситуационной помощи инвалидам различных категорий на объектах социальной, инженерной и транспортной инфраструктур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3.1.2.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624"/>
        <w:gridCol w:w="794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социально-медицинских услуг получателям социальных услуг</w:t>
            </w:r>
          </w:p>
        </w:tc>
        <w:tc>
          <w:tcPr>
            <w:tcW w:w="62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9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A/02.4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4"/>
        <w:gridCol w:w="454"/>
        <w:gridCol w:w="1701"/>
        <w:gridCol w:w="1191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304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75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проведение антропометрических измерений, контроль приема лекарственных препаратов)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в оказании получателю социальных услуг медицинской помощи (сопровождение в медицинские организации по направлению, взаимодействие с лечащим врачом, доставка анализов по направлению)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первой помощи до оказания медицинской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содействия в проведении оздоровительных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мероприятий, направленных на формирование здорового образа жизни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социально-медицинских услуг, определенных нормативными правовыми актами субъекта Российской Федерации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Измерять температуру тела, артериальное давление, осуществлять контроль приема лекарственных препаратов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Оказывать первую помощь до оказания медицинской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Поддерживать здоровый образ жизни получателей социальных услуг, обучать навыкам ухода за собой, основам здорового образа жизни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Виды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ухода за получателями социальных услуг в домашних условиях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измерения температуры тела, артериального давления, проведения антропометрических измерений (рост, вес)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оказания первой помощи до оказания медицинской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организации здорового образа жизни, профилактики факторов риска заболеваний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безопасности труда социального работника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этики в социальной работе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3.1.3.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624"/>
        <w:gridCol w:w="794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социально-психологических услуг получателям социальных услуг</w:t>
            </w:r>
          </w:p>
        </w:tc>
        <w:tc>
          <w:tcPr>
            <w:tcW w:w="62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9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A/03.4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4"/>
        <w:gridCol w:w="454"/>
        <w:gridCol w:w="1701"/>
        <w:gridCol w:w="1191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304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75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бесед, направленных на формирование у получателей социальных услуг позитивного эмоциального состояния, поддержания активного образа жизни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в получении психологической помощи (организация консультации у психолога по просьбе получателя социальных услуг)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социально-психологических услуг, определенных нормативными правовыми актами субъекта Российской Федерации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и поддерживать беседу, формировать у получателей социальных услуг позитивное настроение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Отслеживать изменения в поведении получателя социальных услуг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Виды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возрастной и специальной психологии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безопасности труда социального работника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этики в социальной работе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3.1.4.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624"/>
        <w:gridCol w:w="794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социально-педагогических услуг получателям социальных услуг</w:t>
            </w:r>
          </w:p>
        </w:tc>
        <w:tc>
          <w:tcPr>
            <w:tcW w:w="62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9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A/04.4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4"/>
        <w:gridCol w:w="454"/>
        <w:gridCol w:w="1701"/>
        <w:gridCol w:w="1191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304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75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Обучение членов семьи получателя социальных услуг практическим навыкам общего ухода за получателями социальных услуг, имеющими ограничения жизнедеятельности, в том числе за детьми-инвалидами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помощи в обучении навыкам самообслуживания получателей социальных услуг, имеющих ограничения жизнедеятельности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Помощь родителям и иным законным представителям детей-инвалидов, воспитываемых дома, в обучении таких детей навыкам самообслуживания и общения, направленным на развитие личности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в организации досуговой деятельности в рамках индивидуальной программы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Формирование позитивных интересов (в том числе в сфере досуга) получателей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социально-педагогических услуг, определенных нормативными правовыми актами субъекта Российской Федерации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Обеспечивать общий уход за получателями социальных услуг, имеющими ограничения жизнедеятельности, в том числе за детьми-инвалидами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Обучать членов семьи, в том числе родителей детей-инвалидов, практическим навыкам общего ухода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Привлекать профильных специалистов для обучения получателей социальных услуг навыкам самообслуживания и общения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досуговую деятельность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технологии мотивации и формирования позитивных интересов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Виды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общего ухода за получателями социальных услуг, за гражданами, имеющими ограничения жизнедеятельности, в том числе за детьми-инвалидами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Методики обучения навыкам самообслуживания граждан, имеющих ограничения жизнедеятельности, в том числе детей-инвалидов.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организации процесса эффективного взаимодействия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здорового образа жизни и досуга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безопасности труда социального работника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взаимодействия с пожилыми людьми и инвалидами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организации досуговой деятельности и социокультурной реабилитации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этики в социальной работе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3.1.5.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624"/>
        <w:gridCol w:w="794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социально-правовых услуг получателям социальных услуг</w:t>
            </w:r>
          </w:p>
        </w:tc>
        <w:tc>
          <w:tcPr>
            <w:tcW w:w="62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9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A/05.4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4"/>
        <w:gridCol w:w="454"/>
        <w:gridCol w:w="1701"/>
        <w:gridCol w:w="1191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304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75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 получателей социальных услуг об оказываемых организацией социального обслуживания социальных услугах, в том числе предоставляемых на платной основе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Помощь в оформлении документов для получения получателями социальных услуг: пенсии, пособий, компенсаций, социальных выплат в соответствии с законодательством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Помощь в подготовке документов, необходимых для получения государственных и муниципальных услуг, а также в подаче документов, в том числе с помощью, информационных технологий и информационно-телекоммуникационной сети Интернет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в обеспечении безопасности получателей социальных услуг, вызов полиции, разъяснение получателям социальных услуг основных правил обеспечения безопасности жизнедеятельности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Помощь в подготовке и подаче обращений, заявлений и жалоб, в том числе с помощью электронных средств связи, на действия или бездействие органов государственной власти и местного самоуправления в случае нарушения законных прав получателей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помощи в получении юридических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социально-правовых услуг определенных нормативными правовыми актами субъекта Российской Федерации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информационно-телекоммуникационную сеть Интернет для предоставления получателям социальных услуг государственных и муниципальных услуг, включая заполнение форм заявлений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Оформлять документы, необходимые для оказания социальных услуг получателям социальных услуг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Виды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оформлению документов на получение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правила обеспечения безопасности жизнедеятельности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безопасности труда социального работника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этики в социальной работе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3.1.6.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624"/>
        <w:gridCol w:w="794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социально-трудовых услуг получателям социальных услуг</w:t>
            </w:r>
          </w:p>
        </w:tc>
        <w:tc>
          <w:tcPr>
            <w:tcW w:w="62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9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A/06.4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4"/>
        <w:gridCol w:w="454"/>
        <w:gridCol w:w="1701"/>
        <w:gridCol w:w="1191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304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75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 получателей социальных услуг о возможностях, которые могут быть им представлены организациями социального обслуживания и (или) службой занятости населения, по использованию трудовых возможностей и обучению доступным профессиональным навыкам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Посредничество при обращении в службу занятости или организацию социального обслуживания по вопросам использования трудовых возможностей получателя социальных услуг и обучению его доступным профессиональным навыкам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Помощь в подготовке документов для регистрации в качестве безработного, подбора подходящей работы, обучения или переобучения, в том числе с помощью информационных технологий и информационно-телекоммуникационной сети Интернет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социально-трудовых услуг, определенных нормативными правовыми актами субъекта Российской Федерации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информационно-телекоммуникационную сеть Интернет для обеспечения работы с порталом государственных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Оформлять основные документы, необходимые для регистрации в качестве безработного, подбора подходящей работы, обучения или переобучения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Виды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направления деятельности службы занятости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Виды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безопасности труда социального работника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этики в социальной работе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3.1.7.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624"/>
        <w:gridCol w:w="794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62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9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A/07.4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4"/>
        <w:gridCol w:w="454"/>
        <w:gridCol w:w="1701"/>
        <w:gridCol w:w="1191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304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75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содействия инвалидам (детям-инвалидам) в использовании средств ухода и технических средств реабилитации, в том числе повышающих их коммуникативные возможности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в проведении социально-реабилитационных мероприятий в сфере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определенные нормативными правовыми актами субъекта Российской Федерации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Пользоваться средствами ухода и техническими средствами реабилитации, в том числе повышающими коммуникативные возможности получателей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Выполнять отдельные действия по подготовке и проведению социально-реабилитационных мероприятий в сфере социального обслуживания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Виды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Базовые знания об основных технических средствах реабилитации для лиц с ограничениями жизнедеятельности различного происхождения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социально-реабилитационные мероприятия в сфере социального обслуживания, необходимые для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безопасности труда социального работника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этики в социальной работе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3.1.8.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624"/>
        <w:gridCol w:w="794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срочных социальных услуг получателям социальных услуг</w:t>
            </w:r>
          </w:p>
        </w:tc>
        <w:tc>
          <w:tcPr>
            <w:tcW w:w="62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9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A/08.4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4"/>
        <w:gridCol w:w="454"/>
        <w:gridCol w:w="1701"/>
        <w:gridCol w:w="1191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304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75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бесплатным горячим питанием или наборами продуктов питания получателей социальных услуг, нуждающихся в срочной социальной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предметами первой необходимости получателей социальных услуг, нуждающихся в срочной социальной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срочных социальных услуг, определенных нормативными правовыми актами субъекта Российской Федерации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с получателями социальных услуг, нуждающимися в срочном социальном обслуживании, с учетом особенностей их ситуации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Оперативно обеспечивать получателей социальных услуг, нуждающихся в срочной социальной помощи, горячим питанием или наборами продуктов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Виды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безопасности труда социального работника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этики в социальной работе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Сведения об организациях - разработчиках</w:t>
      </w:r>
    </w:p>
    <w:p>
      <w:pPr>
        <w:pStyle w:val="2"/>
        <w:jc w:val="center"/>
      </w:pPr>
      <w:r>
        <w:rPr>
          <w:sz w:val="24"/>
        </w:rPr>
        <w:t xml:space="preserve">профессионального стандарта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4.1. Ответственная организация-разработчик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10"/>
        <w:gridCol w:w="4761"/>
      </w:tblGrid>
      <w:tr>
        <w:tc>
          <w:tcPr>
            <w:gridSpan w:val="2"/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ФГБОУ ВО "Российский государственный социальный университет", город Москва</w:t>
            </w:r>
          </w:p>
        </w:tc>
      </w:tr>
      <w:tr>
        <w:tc>
          <w:tcPr>
            <w:tcW w:w="4310" w:type="dxa"/>
            <w:tcBorders>
              <w:left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Ректор</w:t>
            </w:r>
          </w:p>
        </w:tc>
        <w:tc>
          <w:tcPr>
            <w:tcW w:w="4761" w:type="dxa"/>
            <w:tcBorders>
              <w:left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Починок Наталья Борисовна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4.2. Наименования организаций-разработчиков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0"/>
        <w:gridCol w:w="8371"/>
      </w:tblGrid>
      <w:tr>
        <w:tc>
          <w:tcPr>
            <w:tcW w:w="70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371" w:type="dxa"/>
          </w:tcPr>
          <w:p>
            <w:pPr>
              <w:pStyle w:val="0"/>
            </w:pPr>
            <w:r>
              <w:rPr>
                <w:sz w:val="24"/>
              </w:rPr>
              <w:t xml:space="preserve">АНОО ВО "Институт социального образования", город Воронеж</w:t>
            </w:r>
          </w:p>
        </w:tc>
      </w:tr>
      <w:tr>
        <w:tc>
          <w:tcPr>
            <w:tcW w:w="700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371" w:type="dxa"/>
          </w:tcPr>
          <w:p>
            <w:pPr>
              <w:pStyle w:val="0"/>
            </w:pPr>
            <w:r>
              <w:rPr>
                <w:sz w:val="24"/>
              </w:rPr>
              <w:t xml:space="preserve">ГАУ "Институт дополнительного профессионального образования работников социальной сферы" Департамента труда и социальной защиты населения города Москвы, город Москва</w:t>
            </w:r>
          </w:p>
        </w:tc>
      </w:tr>
      <w:tr>
        <w:tc>
          <w:tcPr>
            <w:tcW w:w="700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371" w:type="dxa"/>
          </w:tcPr>
          <w:p>
            <w:pPr>
              <w:pStyle w:val="0"/>
            </w:pPr>
            <w:r>
              <w:rPr>
                <w:sz w:val="24"/>
              </w:rPr>
              <w:t xml:space="preserve">Межрегиональная общественная организация "Ассоциация работников социальных служб Российской Федерации", город Москва</w:t>
            </w:r>
          </w:p>
        </w:tc>
      </w:tr>
      <w:tr>
        <w:tc>
          <w:tcPr>
            <w:tcW w:w="700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37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социального развития Московской области, город Москва</w:t>
            </w:r>
          </w:p>
        </w:tc>
      </w:tr>
      <w:tr>
        <w:tc>
          <w:tcPr>
            <w:tcW w:w="700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371" w:type="dxa"/>
          </w:tcPr>
          <w:p>
            <w:pPr>
              <w:pStyle w:val="0"/>
            </w:pPr>
            <w:r>
              <w:rPr>
                <w:sz w:val="24"/>
              </w:rPr>
              <w:t xml:space="preserve">Общероссийская общественная организация "Союз социальных педагогов и социальных работников", город Москва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541" w:name="P541"/>
    <w:bookmarkEnd w:id="5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Общероссийский </w:t>
      </w:r>
      <w:hyperlink w:history="0" r:id="rId27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занятий.</w:t>
      </w:r>
    </w:p>
    <w:bookmarkStart w:id="542" w:name="P542"/>
    <w:bookmarkEnd w:id="5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Общероссийский </w:t>
      </w:r>
      <w:hyperlink w:history="0"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видов экономической деятельности.</w:t>
      </w:r>
    </w:p>
    <w:bookmarkStart w:id="543" w:name="P543"/>
    <w:bookmarkEnd w:id="54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2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Статья 31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bookmarkStart w:id="544" w:name="P544"/>
    <w:bookmarkEnd w:id="5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</w:t>
      </w:r>
      <w:hyperlink w:history="0" r:id="rId30" w:tooltip="&quot;Трудовой кодекс Российской Федерации&quot; от 30.12.2001 N 197-ФЗ (ред. от 28.12.2025) {КонсультантПлюс}">
        <w:r>
          <w:rPr>
            <w:sz w:val="24"/>
            <w:color w:val="0000ff"/>
          </w:rPr>
          <w:t xml:space="preserve">Статья 351.1</w:t>
        </w:r>
      </w:hyperlink>
      <w:r>
        <w:rPr>
          <w:sz w:val="24"/>
        </w:rPr>
        <w:t xml:space="preserve"> Трудового кодекса Российской Федерации, (Собрание законодательства Российской Федерации, 2002, N 1, ст. 3; 2015, N 29, ст. 4363).</w:t>
      </w:r>
    </w:p>
    <w:bookmarkStart w:id="545" w:name="P545"/>
    <w:bookmarkEnd w:id="5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</w:t>
      </w:r>
      <w:hyperlink w:history="0" r:id="rId31" w:tooltip="Приказ Минздравсоцразвития России от 12.04.2011 N 302н (ред. от 18.05.2020) &quot;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&quot; (Зарегистрировано в Минюсте России 21.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35848), приказом Минтруда России, Минздрава России от 6 февраля 2018 г. N 62н/49н (зарегистрирован Минюстом России 2 марта 2018 г., регистрационный N 50237), приказом Минздрава России от 13 декабря 2019 г. N 1032н (зарегистрирован Минюстом России 24 декабря 2019 г., регистрационный N 56976), приказом Минтруда России, Минздрава России от 3 апреля 2020 г. N 187н/268н (зарегистрирован Минюстом России 12 мая 2020 г., регистрационный N 58320), приказом Минздрава России от 18 мая 2020 г. N 455н (зарегистрирован Минюстом России 22 мая 2020 г., регистрационный N 58430).</w:t>
      </w:r>
    </w:p>
    <w:bookmarkStart w:id="546" w:name="P546"/>
    <w:bookmarkEnd w:id="5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Общероссийский </w:t>
      </w:r>
      <w:hyperlink w:history="0" r:id="rId3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профессий рабочих, должностей служащих и тарифных разрядов.</w:t>
      </w:r>
    </w:p>
    <w:bookmarkStart w:id="547" w:name="P547"/>
    <w:bookmarkEnd w:id="5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Общероссийский </w:t>
      </w:r>
      <w:hyperlink w:history="0" r:id="rId3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специальностей по образованию.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18.06.2020 N 354н</w:t>
            <w:br/>
            <w:t>"Об утверждении профессионального стандарта "Социальный работник"</w:t>
            <w:br/>
            <w:t>(Зарегистр...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99529&amp;date=26.01.2026&amp;dst=9&amp;field=134" TargetMode = "External"/><Relationship Id="rId9" Type="http://schemas.openxmlformats.org/officeDocument/2006/relationships/hyperlink" Target="https://login.consultant.ru/link/?req=doc&amp;base=LAW&amp;n=156368&amp;date=26.01.2026" TargetMode = "External"/><Relationship Id="rId10" Type="http://schemas.openxmlformats.org/officeDocument/2006/relationships/hyperlink" Target="https://login.consultant.ru/link/?req=doc&amp;base=LAW&amp;n=386337&amp;date=26.01.2026&amp;dst=100913&amp;field=134" TargetMode = "External"/><Relationship Id="rId11" Type="http://schemas.openxmlformats.org/officeDocument/2006/relationships/hyperlink" Target="https://login.consultant.ru/link/?req=doc&amp;base=LAW&amp;n=386337&amp;date=26.01.2026" TargetMode = "External"/><Relationship Id="rId12" Type="http://schemas.openxmlformats.org/officeDocument/2006/relationships/hyperlink" Target="https://login.consultant.ru/link/?req=doc&amp;base=LAW&amp;n=386337&amp;date=26.01.2026" TargetMode = "External"/><Relationship Id="rId13" Type="http://schemas.openxmlformats.org/officeDocument/2006/relationships/hyperlink" Target="https://login.consultant.ru/link/?req=doc&amp;base=LAW&amp;n=518477&amp;date=26.01.2026&amp;dst=105414&amp;field=134" TargetMode = "External"/><Relationship Id="rId14" Type="http://schemas.openxmlformats.org/officeDocument/2006/relationships/hyperlink" Target="https://login.consultant.ru/link/?req=doc&amp;base=LAW&amp;n=518477&amp;date=26.01.2026&amp;dst=105418&amp;field=134" TargetMode = "External"/><Relationship Id="rId15" Type="http://schemas.openxmlformats.org/officeDocument/2006/relationships/hyperlink" Target="https://login.consultant.ru/link/?req=doc&amp;base=LAW&amp;n=518477&amp;date=26.01.2026&amp;dst=105422&amp;field=134" TargetMode = "External"/><Relationship Id="rId16" Type="http://schemas.openxmlformats.org/officeDocument/2006/relationships/hyperlink" Target="https://login.consultant.ru/link/?req=doc&amp;base=LAW&amp;n=518477&amp;date=26.01.2026&amp;dst=105426&amp;field=134" TargetMode = "External"/><Relationship Id="rId17" Type="http://schemas.openxmlformats.org/officeDocument/2006/relationships/hyperlink" Target="https://login.consultant.ru/link/?req=doc&amp;base=LAW&amp;n=518477&amp;date=26.01.2026&amp;dst=105821&amp;field=134" TargetMode = "External"/><Relationship Id="rId18" Type="http://schemas.openxmlformats.org/officeDocument/2006/relationships/hyperlink" Target="https://login.consultant.ru/link/?req=doc&amp;base=LAW&amp;n=518477&amp;date=26.01.2026&amp;dst=105437&amp;field=134" TargetMode = "External"/><Relationship Id="rId19" Type="http://schemas.openxmlformats.org/officeDocument/2006/relationships/hyperlink" Target="https://login.consultant.ru/link/?req=doc&amp;base=LAW&amp;n=518477&amp;date=26.01.2026&amp;dst=105439&amp;field=134" TargetMode = "External"/><Relationship Id="rId20" Type="http://schemas.openxmlformats.org/officeDocument/2006/relationships/hyperlink" Target="https://login.consultant.ru/link/?req=doc&amp;base=LAW&amp;n=518477&amp;date=26.01.2026" TargetMode = "External"/><Relationship Id="rId21" Type="http://schemas.openxmlformats.org/officeDocument/2006/relationships/hyperlink" Target="https://login.consultant.ru/link/?req=doc&amp;base=LAW&amp;n=386337&amp;date=26.01.2026" TargetMode = "External"/><Relationship Id="rId22" Type="http://schemas.openxmlformats.org/officeDocument/2006/relationships/hyperlink" Target="https://login.consultant.ru/link/?req=doc&amp;base=LAW&amp;n=386337&amp;date=26.01.2026&amp;dst=100913&amp;field=134" TargetMode = "External"/><Relationship Id="rId23" Type="http://schemas.openxmlformats.org/officeDocument/2006/relationships/hyperlink" Target="https://login.consultant.ru/link/?req=doc&amp;base=LAW&amp;n=135996&amp;date=26.01.2026&amp;dst=100010&amp;field=134" TargetMode = "External"/><Relationship Id="rId24" Type="http://schemas.openxmlformats.org/officeDocument/2006/relationships/hyperlink" Target="https://login.consultant.ru/link/?req=doc&amp;base=LAW&amp;n=135996&amp;date=26.01.2026&amp;dst=107183&amp;field=134" TargetMode = "External"/><Relationship Id="rId25" Type="http://schemas.openxmlformats.org/officeDocument/2006/relationships/hyperlink" Target="https://login.consultant.ru/link/?req=doc&amp;base=LAW&amp;n=212200&amp;date=26.01.2026" TargetMode = "External"/><Relationship Id="rId26" Type="http://schemas.openxmlformats.org/officeDocument/2006/relationships/hyperlink" Target="https://login.consultant.ru/link/?req=doc&amp;base=LAW&amp;n=212200&amp;date=26.01.2026&amp;dst=101314&amp;field=134" TargetMode = "External"/><Relationship Id="rId27" Type="http://schemas.openxmlformats.org/officeDocument/2006/relationships/hyperlink" Target="https://login.consultant.ru/link/?req=doc&amp;base=LAW&amp;n=386337&amp;date=26.01.2026" TargetMode = "External"/><Relationship Id="rId28" Type="http://schemas.openxmlformats.org/officeDocument/2006/relationships/hyperlink" Target="https://login.consultant.ru/link/?req=doc&amp;base=LAW&amp;n=518477&amp;date=26.01.2026" TargetMode = "External"/><Relationship Id="rId29" Type="http://schemas.openxmlformats.org/officeDocument/2006/relationships/hyperlink" Target="https://login.consultant.ru/link/?req=doc&amp;base=LAW&amp;n=510750&amp;date=26.01.2026&amp;dst=100343&amp;field=134" TargetMode = "External"/><Relationship Id="rId30" Type="http://schemas.openxmlformats.org/officeDocument/2006/relationships/hyperlink" Target="https://login.consultant.ru/link/?req=doc&amp;base=LAW&amp;n=523253&amp;date=26.01.2026&amp;dst=102617&amp;field=134" TargetMode = "External"/><Relationship Id="rId31" Type="http://schemas.openxmlformats.org/officeDocument/2006/relationships/hyperlink" Target="https://login.consultant.ru/link/?req=doc&amp;base=LAW&amp;n=343200&amp;date=26.01.2026" TargetMode = "External"/><Relationship Id="rId32" Type="http://schemas.openxmlformats.org/officeDocument/2006/relationships/hyperlink" Target="https://login.consultant.ru/link/?req=doc&amp;base=LAW&amp;n=135996&amp;date=26.01.2026&amp;dst=100010&amp;field=134" TargetMode = "External"/><Relationship Id="rId33" Type="http://schemas.openxmlformats.org/officeDocument/2006/relationships/hyperlink" Target="https://login.consultant.ru/link/?req=doc&amp;base=LAW&amp;n=212200&amp;date=26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18.06.2020 N 354н
"Об утверждении профессионального стандарта "Социальный работник"
(Зарегистрировано в Минюсте России 20.07.2020 N 59014)</dc:title>
  <dcterms:created xsi:type="dcterms:W3CDTF">2026-01-26T05:06:58Z</dcterms:created>
</cp:coreProperties>
</file>