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18.06.2020 N 352н</w:t>
              <w:br/>
              <w:t xml:space="preserve">"Об утверждении профессионального стандарта "Специалист по реабилитационной работе в социальной сфере"</w:t>
              <w:br/>
              <w:t xml:space="preserve">(Зарегистрировано в Минюсте России 20.07.2020 N 59010)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20 июля 2020 г. N 59010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18 июня 2020 г. N 352н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ПРОФЕССИОНАЛЬНОГО СТАНДАРТА</w:t>
      </w:r>
    </w:p>
    <w:p>
      <w:pPr>
        <w:pStyle w:val="2"/>
        <w:jc w:val="center"/>
      </w:pPr>
      <w:r>
        <w:rPr>
          <w:sz w:val="24"/>
        </w:rPr>
        <w:t xml:space="preserve">"СПЕЦИАЛИСТ ПО РЕАБИЛИТАЦИОННОЙ РАБОТЕ В СОЦИАЛЬНОЙ СФЕРЕ"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22.01.2013 N 23 (ред. от 27.10.2021) &quot;О Правилах разработки и утверждения профессиональных стандартов&quot; ------------ Утратил силу или отменен {КонсультантПлюс}">
        <w:r>
          <w:rPr>
            <w:sz w:val="24"/>
            <w:color w:val="0000ff"/>
          </w:rPr>
          <w:t xml:space="preserve">пунктом 16</w:t>
        </w:r>
      </w:hyperlink>
      <w:r>
        <w:rPr>
          <w:sz w:val="24"/>
        </w:rP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профессиональный </w:t>
      </w:r>
      <w:hyperlink w:history="0" w:anchor="P29" w:tooltip="ПРОФЕССИОНАЛЬНЫЙ 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"Специалист по реабилитационной работе в социальной сфере".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труда России от 18.11.2013 N 681н &quot;Об утверждении профессионального стандарта &quot;Специалист по реабилитационной работе в социальной сфере&quot; (Зарегистрировано в Минюсте России 19.12.2013 N 30658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18 ноября 2013 г. N 681н "Об утверждении профессионального стандарта "Специалист по реабилитационной работе в социальной сфере" (зарегистрирован Министерством юстиции Российской Федерации 19 декабря 2013 г., регистрационный N 30658).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</w:t>
      </w:r>
    </w:p>
    <w:p>
      <w:pPr>
        <w:pStyle w:val="0"/>
        <w:jc w:val="right"/>
      </w:pPr>
      <w:r>
        <w:rPr>
          <w:sz w:val="24"/>
        </w:rPr>
        <w:t xml:space="preserve">труда 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июня 2020 г. N 352н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ПРОФЕССИОНАЛЬНЫЙ СТАНДАРТ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СПЕЦИАЛИСТ ПО РЕАБИЛИТАЦИОННОЙ РАБОТЕ В СОЦИАЛЬНОЙ СФЕРЕ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3"/>
        <w:gridCol w:w="226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680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сведения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87"/>
        <w:gridCol w:w="340"/>
        <w:gridCol w:w="1644"/>
      </w:tblGrid>
      <w:tr>
        <w:tblPrEx>
          <w:tblBorders>
            <w:right w:val="single" w:sz="4"/>
          </w:tblBorders>
        </w:tblPrEx>
        <w:tc>
          <w:tcPr>
            <w:tcW w:w="7087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Социальная реабилитация и абилитация детей и взрослых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03.007</w:t>
            </w:r>
          </w:p>
        </w:tc>
      </w:tr>
      <w:tr>
        <w:tc>
          <w:tcPr>
            <w:tcW w:w="70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Основная цель вида профессиональной деятельности: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Формирование, развитие и восстановление внутренних и внешних ресурсов человека с целью его социальной адаптации, расширения возможностей его жизнедеятельности и установления продуктивного взаимодействия с социальной средой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Группа занятий: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2891"/>
        <w:gridCol w:w="1531"/>
        <w:gridCol w:w="3005"/>
      </w:tblGrid>
      <w:tr>
        <w:tblPrEx>
          <w:tblBorders>
            <w:left w:val="single" w:sz="4"/>
            <w:right w:val="single" w:sz="4"/>
            <w:insideV w:val="single" w:sz="4"/>
          </w:tblBorders>
        </w:tblPrEx>
        <w:tc>
          <w:tcPr>
            <w:tcW w:w="1644" w:type="dxa"/>
          </w:tcPr>
          <w:p>
            <w:pPr>
              <w:pStyle w:val="0"/>
            </w:pPr>
            <w:hyperlink w:history="0" r:id="rId10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2634</w:t>
              </w:r>
            </w:hyperlink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64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11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  <w:r>
              <w:rPr>
                <w:sz w:val="24"/>
              </w:rPr>
              <w:t xml:space="preserve"> </w:t>
            </w:r>
            <w:hyperlink w:history="0" w:anchor="P904" w:tooltip="&lt;1&gt; Общероссийский классификатор занятий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(наименование)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12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Описание трудовых функций, входящих</w:t>
      </w:r>
    </w:p>
    <w:p>
      <w:pPr>
        <w:pStyle w:val="2"/>
        <w:jc w:val="center"/>
      </w:pPr>
      <w:r>
        <w:rPr>
          <w:sz w:val="24"/>
        </w:rPr>
        <w:t xml:space="preserve">в профессиональный стандарт (функциональная карта вида</w:t>
      </w:r>
    </w:p>
    <w:p>
      <w:pPr>
        <w:pStyle w:val="2"/>
        <w:jc w:val="center"/>
      </w:pPr>
      <w:r>
        <w:rPr>
          <w:sz w:val="24"/>
        </w:rPr>
        <w:t xml:space="preserve">профессиональной деятельности)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778"/>
        <w:gridCol w:w="1020"/>
        <w:gridCol w:w="2665"/>
        <w:gridCol w:w="850"/>
        <w:gridCol w:w="1134"/>
      </w:tblGrid>
      <w:tr>
        <w:tc>
          <w:tcPr>
            <w:gridSpan w:val="3"/>
            <w:tcW w:w="4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Обобщенные трудовые функции</w:t>
            </w:r>
          </w:p>
        </w:tc>
        <w:tc>
          <w:tcPr>
            <w:gridSpan w:val="3"/>
            <w:tcW w:w="46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Трудовые функции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Комплексное обеспечение социальной реабилитации и абилитации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реабилитация и абилитация несовершеннолетних лиц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A/01.6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реабилитация и абилитация лиц трудоспособного возраста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A/02.6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реабилитация и абилитация лиц пенсионного возраста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A/03.6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Организация деятельности по социальной реабилитации и абилитации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реабилитационного (абилитационного) случая и управление им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B/01.7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Планирование, координация и оценка реабилитационных (абилитационных) мероприятий, управление реабилитационными (абилитационными) мероприятиями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B/02.7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специалистов организаций социальной сферы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B/03.7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Характеристика обобщенных трудовых функций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3.1. Обобщенная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4082"/>
        <w:gridCol w:w="567"/>
        <w:gridCol w:w="794"/>
        <w:gridCol w:w="1587"/>
        <w:gridCol w:w="397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408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Комплексное обеспечение социальной реабилитации и абилитации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9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158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1191"/>
        <w:gridCol w:w="454"/>
        <w:gridCol w:w="1587"/>
        <w:gridCol w:w="1247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43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обобщенной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6690"/>
      </w:tblGrid>
      <w:tr>
        <w:tc>
          <w:tcPr>
            <w:tcW w:w="238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реабилитации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6690"/>
      </w:tblGrid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образованию и обучению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Высшее образование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опыту практической работы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Особые условия допуска к работе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К трудовой деятельности с участием несовершеннолетних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 </w:t>
            </w:r>
            <w:hyperlink w:history="0" w:anchor="P905" w:tooltip="&lt;2&gt; Статья 351.1 Трудового кодекса Российской Федерации (Собрание законодательства Российской Федерации, 2002, N 1, ст. 3; 2015, N 29, ст. 4363)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Отсутствие заболеваний, предусмотренных перечнем, утверждаемым федеральным органом исполнительной власти, который осуществляет функции по выработке государственной политики и нормативному правовому регулированию в области здравоохранения </w:t>
            </w:r>
            <w:hyperlink w:history="0" w:anchor="P906" w:tooltip="&lt;3&gt; Постановление Совета Министров - Правительства Российской Федерации от 28 апреля 1993 г. N 377 &quot;О реализации Закона Российской Федерации &quot;О психиатрической помощи и гарантиях прав граждан при ее оказании&quot; (Собрание актов Президента и Правительства Российской Федерации, 1993, N 18, ст. 1602; 2002, N 39, ст. 3796)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Дополнительные характеристики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1304"/>
        <w:gridCol w:w="5443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54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базовой группы, должности (профессии) или специальности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hyperlink w:history="0" r:id="rId13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14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2634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ЕКС </w:t>
            </w:r>
            <w:hyperlink w:history="0" w:anchor="P907" w:tooltip="&lt;4&gt; Единый квалификационный справочник должностей руководителей, специалистов и служащих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hyperlink w:history="0" r:id="rId1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ОКПДТР</w:t>
              </w:r>
            </w:hyperlink>
            <w:r>
              <w:rPr>
                <w:sz w:val="24"/>
              </w:rPr>
              <w:t xml:space="preserve"> </w:t>
            </w:r>
            <w:hyperlink w:history="0" w:anchor="P908" w:tooltip="&lt;5&gt; Общероссийский классификатор профессий рабочих, должностей служащих и тарифных разрядов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1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25883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hyperlink w:history="0" r:id="rId1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ОКСО</w:t>
              </w:r>
            </w:hyperlink>
            <w:r>
              <w:rPr>
                <w:sz w:val="24"/>
              </w:rPr>
              <w:t xml:space="preserve"> </w:t>
            </w:r>
            <w:hyperlink w:history="0" w:anchor="P909" w:tooltip="&lt;6&gt; Общероссийский классификатор специальностей по образованию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1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5.37.03.01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1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5.37.04.01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2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5.37.05.01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Клиническая психология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2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5.39.03.02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работа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2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5.39.04.02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2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6.44.03.02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Психолого-педагогическое образование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2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6.44.03.03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Специальное (дефектологическое) образование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2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6.44.04.02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Психолого-педагогическое образование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2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6.44.04.03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Специальное (дефектологическое) образование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2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6.44.05.01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Педагогика и психология девиантного поведения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3.1.1.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Социальная реабилитация и абилитация несовершеннолетних лиц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A/01.6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1191"/>
        <w:gridCol w:w="510"/>
        <w:gridCol w:w="1587"/>
        <w:gridCol w:w="1191"/>
        <w:gridCol w:w="221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381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54"/>
        <w:gridCol w:w="6917"/>
      </w:tblGrid>
      <w:tr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оценки условий, которые ухудшают или могут ухудшить жизненную ситуацию несовершеннолетних, анализ степени выраженности ограничений категорий жизнедеятельности у детей-инвалидов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оценки потенциала социальной реабилитации (абилитации) несовершеннолетних, уточнение потенциала социальной реабилитации (абилитации) детей-инвалидов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цели и задач социальной реабилитации (абилитации) несовершеннолетних лиц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Составление перечня мероприятий для социальной реабилитации (абилитации) несовершеннолетних лиц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прогноза социальной реабилитации (абилитации) несовершеннолетних лиц, уточнение прогноза социальной реабилитации (абилитации) детей-инвалидов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специалистов организаций, участвующих в реализации индивидуальной программы реабилитации и абилитации инвалидов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и проведение мероприятий социальной реабилитации (абилитации) несовершеннолетних, признанных нуждающимися в социальном обслуживании, в том числе в рамках реализации индивидуальной программы реабилитации или абилитации ребенка-инвалида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Мониторинг и проведение оценки эффективности реализации мероприятий социальной реабилитации (абилитации) несовершеннолетних лиц в рамках реализации индивидуальной программы реабилитации или абилитации ребенка-инвалида либо индивидуальной программы социальной реабилитации несовершеннолетнего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рекомендаций по коррекции мероприятий социальной реабилитации (абилитации) несовершеннолетних лиц по итогам реализации индивидуальной программы реабилитации или абилитации ребенка-инвалида либо индивидуальной программы социальной реабилитации несовершеннолетнего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заключений по результатам реализации мероприятий социальной реабилитации (абилитации)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Оформление локальных нормативных актов в соответствии с задачами социальной реабилитации (абилитации)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Обмен опытом, профессиональными знаниями со специалистами по комплексной реабилитации (абилитации)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мероприятий социальной реабилитации (абилитации) несовершеннолетних на конференциях (консилиумах) междисциплинарной команды, в том числе вопросов составления, утверждения, коррекции, мониторинга и оценки эффективности индивидуальных программ реабилитации (абилитации)</w:t>
            </w:r>
          </w:p>
        </w:tc>
      </w:tr>
      <w:tr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экспертно-реабилитационную диагностику и оценку условий, которые ухудшают или могут ухудшить жизненную ситуацию несовершеннолетних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реабилитационный (абилитационный) потенциал несовершеннолетних, уточнять реабилитационный (абилитационный) потенциал детей-инвалидов с учетом рекомендаций в индивидуальной программе реабилитации или абилитации ребенка-инвалида либо индивидуальной программе социальной реабилитации несовершеннолетнего, оценивать ресурсы их окружения, возможность получения ими услуг по реабилитации (абилитации) в домашних условиях, выявлять факторы риска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цели и задачи социальной реабилитации (абилитации) несовершеннолетних лиц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перечень мероприятий, а также приоритетность и очередность выполнения мероприятий социальной реабилитации (абилитации) несовершеннолетних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Прогнозировать результаты социальной реабилитации (абилитации) на основе оценки внутренних и внешних ресурсов несовершеннолетних, реабилитационной инфраструктуры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общение с законными (уполномоченными) представителями несовершеннолетних лиц, самими несовершеннолетними, мотивировать на активное участие в мероприятиях по социальной реабилитации (абилитации)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в междисциплинарной команде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Подбирать методы социально-психологической, социально-педагогической, социокультурной, социально-средовой реабилитации (абилитации), социально-бытовой адаптации, исходя из актуального состояния здоровья несовершеннолетних, а для детей инвалидов с учетом рекомендаций в индивидуальной программе реабилитации или абилитации ребенка-инвалида либо индивидуальной программе социальной реабилитации несовершеннолетнего</w:t>
            </w:r>
          </w:p>
        </w:tc>
      </w:tr>
      <w:tr>
        <w:tc>
          <w:tcPr>
            <w:tcW w:w="215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на практике психологические методы мобилизации внутренних и внешних ресурсов несовершеннолетних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Формировать мотивацию к обучению, труду у несовершеннолетних, осуществлять их профессиональную ориентацию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адаптационное обучение пользованию инфраструктурой населенного пункта (передвижению по улице, правилам дорожного движения, пользованию уличным транспортом)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методы индивидуального, семейного консультирования несовершеннолетних, их законных (уполномоченных) представителей, специалистов образовательных и социозащитных организаций по вопросам социальной реабилитации (абилитации) несовершеннолетних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Реализовывать мероприятия социальной реабилитации (абилитации) с учетом актуального состояния здоровья и ограничений жизнедеятельности, психологического и социального статуса, возраста, образования несовершеннолетних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рекомендации и проводить консультирование по вопросам оборудования специальными средствами и приспособлениями жилого помещения, занимаемого несовершеннолетним инвалидом, преодоления психологических барьеров при использовании реабилитационного оборудования; психологической адаптации к техническим средствам реабилитации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мероприятия по обучению технике и приемам самообслуживания и персонального ухода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мониторинг и оценку эффективности результатов реализации мероприятий социальной реабилитации (абилитации) несовершеннолетних в рамках реализации индивидуальной программы реабилитации или абилитации ребенка-инвалида либо индивидуальной программы социальной реабилитации несовершеннолетнего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нормативные правовые акты по организации и содержанию социальной реабилитации и абилитации несовершеннолетних лиц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Протоколировать ход обследования, оформлять заключения по результатам реализации мероприятий социальной реабилитации (абилитации) в рамках индивидуальной программы реабилитации или абилитации ребенка-инвалида либо индивидуальной программы социальной реабилитации несовершеннолетнего, подготавливать отчеты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Излагать профессиональную информацию в процессе мультидисциплинарного взаимодействия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особенности социального взаимодействия с учетом национальных, этнокультурных, конфессиональных особенностей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Проявлять позитивное отношение, терпимость, выражать эмоциональную поддержку</w:t>
            </w:r>
          </w:p>
        </w:tc>
      </w:tr>
      <w:tr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Федерации, регламентирующие реабилитацию (абилитацию) несовершеннолетних; опеку и попечительство несовершеннолетних; дополнительные гарантии, социальную поддержку детей-сирот и детей, оставшихся без попечения родителей; получение образования несовершеннолетними с ограниченными возможностями здоровья и (или) инвалидностью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Международная классификация функционирования, ограничений жизнедеятельности и здоровья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Общероссийский базовый (отраслевой) перечень (классификатор) государственных и муниципальных услуг, оказываемых физическим лицам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области трудового, гражданского и семейного законодательства, защиты персональных данных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Критерии оценки и методы мобилизации внутренних и внешних ресурсов несовершеннолетних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формирования реабилитационной среды для несовершеннолетних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паллиативной помощи несовершеннолетним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социальной реабилитации и абилитации несовершеннолетних, социальной защиты и социального обслуживания населения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диагностики несовершеннолетних, имеющих ограничения жизнедеятельности, и условия, которые нарушают или могут нарушить их жизненную ситуацию, реабилитационных (абилитационных) стратегий работы с данной категорией несовершеннолетних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и процедуры диагностики и оценки условий жизнедеятельности несовершеннолетних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принципы подбора методов социальной реабилитации (абилитации) несовершеннолетних с учетом их реабилитационного (абилитационного) потенциала, основные (в том числе инновационные) методы социально-психологической, социально-педагогической, социокультурной, социально-средовой, социально-бытовой реабилитации (абилитации)</w:t>
            </w:r>
          </w:p>
        </w:tc>
      </w:tr>
      <w:tr>
        <w:tc>
          <w:tcPr>
            <w:tcW w:w="215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развития несформированных высших психических функций, коррекции эмоционально-волевых нарушений и поведенческих реакций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Техники и приемы самообслуживания и персонального ухода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формирования у несовершеннолетних индивидуальных механизмов психологической защиты, психологической толерантности в ситуации постоянно стрессирующего воздействия болезни и (или) социальной среды, повышения эмоциональной стабильности, профилактики деструктивного поведения, направленного на самоизоляцию и одиночество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и способы разрешения конфликтных ситуаций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Техники общения с несовершеннолетними с ограниченными возможностями здоровья (сенсорными, психическими нарушениями), этика общения с детьми-инвалидами с различными ограничениями жизнедеятельности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защите персональных данных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отчетности, периодичности, качеству и условиям оказания реабилитационной помощи в психологии, социальной работе, медицине и смежных областях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обучения несовершеннолетних пользованию техническими средствами реабилитации, передвижению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эргономики для несовершеннолетних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психосоциального тренинга, ведения групп психологической поддержки и консультирования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единой системы межведомственного электронного взаимодействия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Психологические основы социального взаимодействия, направленного на решение профессиональных задач; основные принципы организации деловых контактов; основные концепции взаимодействия людей в организации, особенности диадического взаимодействия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Перечень и виды технических средств реабилитации, в том числе для детей-инвалидов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мониторинга и оценки результатов социальной реабилитации (абилитации) несовершеннолетних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Локальные нормативные акты и способы их заполнения (ведения), согласования и принятия</w:t>
            </w:r>
          </w:p>
        </w:tc>
      </w:tr>
      <w:tr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Соблюдение правил профессиональной этики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3.1.2.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Социальная реабилитация и абилитация лиц трудоспособного возраста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A/02.6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1191"/>
        <w:gridCol w:w="510"/>
        <w:gridCol w:w="1587"/>
        <w:gridCol w:w="1191"/>
        <w:gridCol w:w="221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381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54"/>
        <w:gridCol w:w="6917"/>
      </w:tblGrid>
      <w:tr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экспертной диагностики и оценки условий, которые ухудшают или могут ухудшить жизненную ситуацию лиц трудоспособного возраста, анализ степени выраженности ограничений категорий жизнедеятельности у инвалидов посредством изучения индивидуальной программы реабилитации или абилитации инвалида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оценки потенциала социальной реабилитации (абилитации) лиц трудоспособного возраста, уточнение потенциала социальной реабилитации (абилитации) инвалидов трудоспособного возраста с учетом рекомендаций в индивидуальных программах или абилитации инвалидов, проведение оценки ресурсов их окружения, определение возможности самостоятельного проживания и получения ими услуг по реабилитации (абилитации) в домашних условиях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цели и задач социальной реабилитации (абилитации) лиц трудоспособного возраста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Составление перечня мероприятий для социальной реабилитации (абилитации) лиц трудоспособного возраста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прогноза социальной реабилитации (абилитации) лиц трудоспособного возраста, уточнение прогноза социальной реабилитации (абилитации) инвалидов трудоспособного возраста с учетом рекомендаций в индивидуальных программах реабилитации или абилитации инвалидов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Ознакомление лиц трудоспособного возраста с инфраструктурой населенного пункта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мероприятий социальной реабилитации (абилитации) лиц трудоспособного возраста на конференциях (консилиумах) междисциплинарной команды, в том числе вопросов составления, утверждения, коррекции, мониторинга и оценки эффективности индивидуальных программ реабилитации (абилитации)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консультаций для лиц трудоспособного возраста, их окружения по разъяснению, согласованию, коррекции мероприятий социальной реабилитации (абилитации), алгоритмов и процедур их реализации в рамках реализации индивидуальных программ реабилитации или абилитации инвалидов</w:t>
            </w:r>
          </w:p>
        </w:tc>
      </w:tr>
      <w:tr>
        <w:tc>
          <w:tcPr>
            <w:tcW w:w="215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специалистов организаций, участвующих в реализации индивидуальных программ реабилитации или абилитации инвалидов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и проведение мероприятий социальной реабилитации (абилитации) в рамках реализации индивидуальных программ реабилитации или абилитации инвалидов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Мониторинг и проведение оценки эффективности реализации мероприятий социальной реабилитации (абилитации) в рамках реализации индивидуальных программ реабилитации или абилитации инвалидов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рекомендаций по коррекции мероприятий социальной реабилитации (абилитации) по итогам реализации индивидуальных программ реабилитации или абилитации инвалидов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заключений о видах, формах и объемах проведенных мероприятий социальной реабилитации (абилитации) и об их результатах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Оформление локальных нормативных актов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Обмен опытом, профессиональными знаниями со специалистами по комплексной реабилитации (абилитации)</w:t>
            </w:r>
          </w:p>
        </w:tc>
      </w:tr>
      <w:tr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Подбирать методы диагностики для исследования отношения лиц трудоспособного возраста к своему состоянию, трудовой занятости, лечению, качеству жизни, характеру и способам решения проблем, социальных связей и отношений с семьей (близкими), интересов, хобби и повседневных занятий, мобильности, мотивации на оптимальную независимость, самопомощь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экспертно-реабилитационную оценку условий, которые ухудшают или могут ухудшить жизненную ситуацию лиц трудоспособного возраста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реабилитационный (абилитационный) потенциал лиц трудоспособного возраста, уточнять реабилитационный (абилитационный) потенциал инвалидов с учетом рекомендаций в индивидуальных программах реабилитации или абилитации инвалидов, оценивать ресурсы их окружения, возможность получения ими услуг по реабилитации (абилитации) в домашних условиях, выявлять факторы риска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цели и задачи социальной реабилитации (абилитации) лиц трудоспособного возраста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перечень, а также приоритетность и очередность выполнения реабилитационных мероприятий социальной реабилитации (абилитации) лиц трудоспособного возраста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Прогнозировать результаты социальной реабилитации (абилитации) на основе оценки внутренних и внешних ресурсов лиц трудоспособного возраста, реабилитационной инфраструктуры территории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общение с лицами трудоспособного возраста, мотивировать их самих и их окружение на активное участие в мероприятиях по социальной реабилитации (абилитации)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в междисциплинарной команде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Подбирать методы социально-психологической, социально-педагогической, социокультурной, социально-средовой реабилитации (абилитации), социально-бытовой адаптации, исходя из актуального состояния здоровья лиц трудоспособного возраста, а для инвалидов с учетом рекомендаций в индивидуальных программах реабилитации или абилитации инвалидов</w:t>
            </w:r>
          </w:p>
        </w:tc>
      </w:tr>
      <w:tr>
        <w:tc>
          <w:tcPr>
            <w:tcW w:w="215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Мобилизовывать личностные ресурсы лиц трудоспособного возраста, направленные на поддержание их социальных связей, интереса к повседневным занятиям или определение новых, требующих доступных усилий и позитивного взаимодействия с микросоциумом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методы индивидуального, группового, семейного консультирования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профилактику синдрома эмоционального выгорания у членов семьи, лиц, осуществляющих уход, нивелировать влияние синдрома на отношение к лицам трудоспособного возраста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Реализовывать мероприятия социальной реабилитации (абилитации) с учетом актуального состояния здоровья и ограничений жизнедеятельности, психологического и социального статуса, возраста, образования лиц трудоспособного возраста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рекомендации и проводить консультирование по вопросам преодоления психологических барьеров при использовании реабилитационного оборудования, психологической адаптации к техническим средствам реабилитации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адаптационное обучение пользованию инфраструктурой населенного пункта (передвижению по улице, правилам дорожного движения, пользованию уличным транспортом) лиц трудоспособного возраста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мониторинг и оценку индивидуального прогресса лиц трудоспособного возраста, эффективности результатов реализации мероприятий социальной реабилитации (абилитации) в рамках реализации индивидуальных программ реабилитации или абилитации инвалидов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Формировать мотивацию к труду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нормативные правовые акты, регламентирующие вопросы организации и содержания социальной реабилитации и абилитации лиц трудоспособного возраста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Протоколировать ход обследования, оформлять заключения по результатам реализации мероприятий социальной реабилитации (абилитации) в рамках индивидуальных программ реабилитации или абилитации инвалидов, подготавливать отчеты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Излагать профессиональную информацию в процессе межкультурного взаимодействия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особенности социального взаимодействия с учетом национальных, этнокультурных, конфессиональных особенностей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Обосновывать практическую и теоретическую значимость полученных результатов социальной реабилитации (абилитации) лиц трудоспособного возраста</w:t>
            </w:r>
          </w:p>
        </w:tc>
      </w:tr>
      <w:tr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области реабилитации (абилитации), социальной защиты и социального обслуживания граждан, охраны здоровья, разработки и реализации индивидуальной программы реабилитации и абилитации инвалида, опеки и попечительства, национальные стандарты в области реабилитации (абилитации), международная классификация функционирования, ограничений жизнедеятельности и здоровья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области трудового, гражданского и семейного законодательства, в том числе защиты персональных данных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Общероссийский базовый (отраслевой) перечень (классификатор) государственных и муниципальных услуг, оказываемых физическим лицам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Критерии оценки методов мобилизации внутренних и внешних ресурсов лиц трудоспособного возраста в социальной реабилитации (абилитации)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междисциплинарные знания о реабилитационной среде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социальной реабилитации и абилитации лиц трудоспособного возраста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диагностики лиц, имеющих ограничения жизнедеятельности, и условий, которые нарушают или могут нарушить их жизненную ситуацию, реабилитационные стратегии работы с данной категорией лиц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паллиативной помощи лицам трудоспособного возраста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и процедуры диагностики и оценки условий жизнедеятельности лиц трудоспособного возраста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принципы подбора методов социальной реабилитации (абилитации) с учетом их реабилитационного потенциала, основные (в том числе инновационные) методы профессиональной, социально-средовой, социально-психологической, социально-педагогической, социально-бытовой и социокультурной реабилитации (абилитации)</w:t>
            </w:r>
          </w:p>
        </w:tc>
      </w:tr>
      <w:tr>
        <w:tc>
          <w:tcPr>
            <w:tcW w:w="215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коррекции эмоционально-волевых нарушений, поведенческих реакций и основы возрастной психологии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Психологические методы развития волевых качеств личности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Техники и приемы самообслуживания и персонального ухода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и способы разрешения конфликтных ситуаций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Техники общения с лицами трудоспособного возраста с ограниченными возможностями здоровья (сенсорными, психическими нарушениями), этика общения с инвалидами с различными ограничениями жизнедеятельности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отчетности, периодичности, качеству и условиям оказания реабилитационной помощи в психологии, социальной работе, медицине и смежных областях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обучения пользованию техническими средствами реабилитации, передвижению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эргономики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психосоциального тренинга, ведения групп психологической поддержки и консультирования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единой системы межведомственного электронного взаимодействия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Психологические основы социального взаимодействия, направленного на решение профессиональных задач; основные принципы организации деловых контактов; основные концепции взаимодействия людей в организации, особенности диадического взаимодействия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Перечень и виды технических средств реабилитации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мониторинга и оценки результатов социальной реабилитации (абилитации)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Локальные нормативные акты и способы их заполнения (ведения), согласования и принятия</w:t>
            </w:r>
          </w:p>
        </w:tc>
      </w:tr>
      <w:tr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Соблюдение правил профессиональной этики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3.1.3.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Социальная реабилитация и абилитация лиц пенсионного возраста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A/03.6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1191"/>
        <w:gridCol w:w="510"/>
        <w:gridCol w:w="1587"/>
        <w:gridCol w:w="1191"/>
        <w:gridCol w:w="221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381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54"/>
        <w:gridCol w:w="6917"/>
      </w:tblGrid>
      <w:tr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экспертной диагностики и оценки условий, которые ухудшают или могут ухудшить жизненную ситуацию лиц пенсионного возраста, анализ степени выраженности ограничений категорий жизнедеятельности у инвалидов посредством изучения индивидуальных программ реабилитации или абилитации инвалидов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оценки реабилитационного (абилитационного) потенциала лиц пенсионного возраста, уточнение реабилитационного (абилитационного) потенциала инвалидов пенсионного возраста с учетом рекомендаций в индивидуальных программах реабилитации или абилитации инвалидов, проведение оценки ресурсов их окружения, участие в определении возможности получения ими услуг по реабилитации (абилитации) в домашних условиях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цели и задач социальной реабилитации (абилитации) лиц пенсионного возраста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Составление перечня мероприятий социальной реабилитации (абилитации) лиц пенсионного возраста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прогноза социальной реабилитации (абилитации) лиц пенсионного возраста, уточнение прогноза социальной реабилитации (абилитации) инвалидов пенсионного возраста с учетом рекомендаций в индивидуальных программах реабилитации или абилитации инвалидов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Ознакомление лиц пенсионного возраста с инфраструктурой населенного пункта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адекватности мероприятий социальной реабилитации (абилитации) лиц пенсионного возраста на конференциях (консилиумах) междисциплинарной команды и составление, утверждение, коррекция, мониторинг и оценка эффективности индивидуальных программ реабилитации (абилитации)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лиц пенсионного возраста, их окружения по разъяснению, согласованию, коррекции мероприятий социальной реабилитации (абилитации), алгоритмов и процедур их реализации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специалистов организаций, участвующих в реализации индивидуальных программ реабилитации или абилитации инвалидов</w:t>
            </w:r>
          </w:p>
        </w:tc>
      </w:tr>
      <w:tr>
        <w:tc>
          <w:tcPr>
            <w:tcW w:w="215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и проведение мероприятий социальной реабилитации (абилитации) лиц пенсионного возраста в рамках реализации индивидуальных программ реабилитации или абилитации инвалидов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Мониторинг и проведение оценки эффективности реализации мероприятий социальной реабилитации (абилитации) лиц пенсионного возраста в рамках реализации индивидуальных программ реабилитации или абилитации инвалидов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рекомендаций по коррекции мероприятий социальной реабилитации (абилитации) лиц пенсионного возраста по итогам реализации индивидуальных программ реабилитации или абилитации инвалидов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заключений о видах, формах и объемах проведенных мероприятий социальной реабилитации (абилитации) и об их результатах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Обмен опытом, профессиональными знаниями с со специалистами по комплексной социальной реабилитации (абилитации)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Оформление локальных нормативных актов</w:t>
            </w:r>
          </w:p>
        </w:tc>
      </w:tr>
      <w:tr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Подбирать методы диагностики для исследования отношения лиц пенсионного возраста к своему состоянию, трудовой занятости, лечению, качеству жизни, характеру и способам решения проблем, социальных связей и отношений с семьей (близкими), интересов, хобби и повседневных занятий, мобильности, мотивации на оптимальную независимость, самопомощь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экспертно-реабилитационную диагностику и оценку условий, которые ухудшают или могут ухудшить жизненную ситуацию лиц пенсионного возраста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потенциал социальной реабилитации (абилитации) лиц пенсионного возраста, потенциал социальной реабилитации (абилитации) инвалидов пенсионного возраста с учетом рекомендаций в индивидуальных программах реабилитации или абилитации инвалидов, оценивать ресурсы их окружения, возможность получения ими услуг по реабилитации (абилитации) в домашних условиях, выявлять факторы риска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цели и задачи социальной реабилитации (абилитации) лиц пенсионного возраста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перечень, приоритетность и очередность выполнения мероприятий социальной реабилитации (абилитации) лиц пенсионного возраста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Прогнозировать результаты социальной реабилитации (абилитации) на основе оценки внутренних и внешних ресурсов лиц пенсионного возраста, реабилитационной инфраструктуры территории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общение с лицами пенсионного возраста, мотивировать их самих и их окружение на активное участие в мероприятиях по социальной реабилитации (абилитации)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в междисциплинарной команде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Подбирать методы социально-психологической, социально-педагогической, социокультурной, социально-средовой реабилитации (абилитации), социально-бытовой адаптации, исходя из актуального состояния лиц пенсионного возраста, а для инвалидов с учетом рекомендаций в индивидуальных программах реабилитации или абилитации инвалидов</w:t>
            </w:r>
          </w:p>
        </w:tc>
      </w:tr>
      <w:tr>
        <w:tc>
          <w:tcPr>
            <w:tcW w:w="215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Мобилизовывать личностные ресурсы лиц пенсионного возраста, направленные на поддержание их социальных связей, интереса к повседневным занятиям или определение новых, требующих доступных усилий и позитивного взаимодействия с микросоциумом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консультирование лиц пенсионного возраста, направленное на самоосознание, переосмысление собственной жизни, самоопределение, поддержку на основных этапах приспособления к мысли о смерти, снижение страха смерти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профилактику синдрома эмоционального выгорания у членов семьи, лиц, осуществляющих уход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методы индивидуального, группового, семейного, профессионального консультирования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Реализовывать мероприятия социальной реабилитации (абилитации) с учетом актуального состояния здоровья и ограничений жизнедеятельности, психологического и социального статуса, возраста, образования лиц пенсионного возраста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рекомендации и проводить консультирование по вопросам преодоления психологических барьеров при использовании реабилитационного оборудования, психологической адаптации к техническим средствам реабилитации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мониторинг и оценку индивидуального прогресса лиц пенсионного возраста, эффективности результатов реализации мероприятий социальной реабилитации (абилитации) в рамках реализации индивидуальных программ реабилитации или абилитации инвалидов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нормативные правовые акты, регламентирующие вопросы организации и содержания социальной реабилитации и абилитации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Протоколировать ход обследования, оформлять заключения по результатам реализации мероприятий социальной реабилитации (абилитации) в рамках индивидуальной программы реабилитации или абилитации инвалида, подготавливать отчеты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Излагать профессиональную информацию в процессе межкультурного взаимодействия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особенности социального взаимодействия с учетом национальных, этнокультурных, конфессиональных особенностей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Обосновывать практическую и теоретическую значимость полученных результатов социальной реабилитации (абилитации) лиц пенсионного возраста</w:t>
            </w:r>
          </w:p>
        </w:tc>
      </w:tr>
      <w:tr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области реабилитации (абилитации), социальной защиты и социального обслуживания граждан, охраны здоровья, разработки и реализации индивидуальной программы реабилитации и абилитации инвалида, опеки и попечительства, дополнительных гарантий, национальные стандарты в области реабилитации (абилитации), международная классификация функционирования, ограничений жизнедеятельности и здоровья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области трудового, гражданского и семейного законодательства, защиты персональных данных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Общероссийский базовый (отраслевой) перечень (классификатор) государственных и муниципальных услуг, оказываемых физическим лицам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Критерии оценки и методы мобилизации внутренних и внешних ресурсов лиц пенсионного возраста в социальной реабилитации (абилитации)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формирования реабилитационной среды для лиц пенсионного возраста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социальной реабилитации (абилитации) лиц пенсионного возраста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паллиативной помощи лицам пенсионного возраста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диагностики лиц пенсионного возраста, имеющих ограничения жизнедеятельности, и условия, которые нарушают или могут нарушить их жизненную ситуацию, реабилитационные стратегий работы с данной категорией лиц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и процедуры диагностики и оценки условий жизнедеятельности у лиц пенсионного возраста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принципы подбора методов социальной реабилитации (абилитации) лиц пенсионного возраста с учетом их реабилитационного (абилитационного) потенциала, основные (в том числе инновационные) методы социально-психологической, социально-педагогической, социокультурной, профессиональной, социально-средовой, социально-бытовой реабилитации (абилитации)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Техники и приемы самообслуживания и персонального ухода</w:t>
            </w:r>
          </w:p>
        </w:tc>
      </w:tr>
      <w:tr>
        <w:tc>
          <w:tcPr>
            <w:tcW w:w="215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и способы разрешения конфликтных ситуаций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Техники общения с лицами пенсионного возраста с ограниченными возможностями здоровья (в том числе с сенсорными, психическими нарушениями), этика общения с инвалидами с различными ограничениями жизнедеятельности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отчетности, периодичности, качеству и условиям оказания реабилитационной помощи в психологии, социальной работе, медицине и смежных областях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обучения пользованию техническими средствами реабилитации, передвижению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эргономики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психосоциального тренинга, ведения групп психологической поддержки и консультирования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единой системы межведомственного электронного взаимодействия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Психологические основы социального взаимодействия, направленного на решение профессиональных задач; основные принципы организации деловых контактов; основные концепции взаимодействия людей в организации, особенности диадического взаимодействия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Технические средства реабилитации лиц пенсионного возраста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мониторинга и оценки результатов социальной реабилитации (абилитации)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Локальные нормативные акты и способы их заполнения (ведения согласования и принятия</w:t>
            </w:r>
          </w:p>
        </w:tc>
      </w:tr>
      <w:tr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Соблюдение правил профессиональной этики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3.2. Обобщенная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4082"/>
        <w:gridCol w:w="567"/>
        <w:gridCol w:w="794"/>
        <w:gridCol w:w="1587"/>
        <w:gridCol w:w="397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408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деятельности по социальной реабилитации и абилитации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9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158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1191"/>
        <w:gridCol w:w="454"/>
        <w:gridCol w:w="1587"/>
        <w:gridCol w:w="1247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438" w:type="dxa"/>
            <w:vAlign w:val="center"/>
            <w:tcBorders>
              <w:top w:val="nil"/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обобщенной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43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6690"/>
      </w:tblGrid>
      <w:tr>
        <w:tc>
          <w:tcPr>
            <w:tcW w:w="238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службы</w:t>
            </w:r>
          </w:p>
          <w:p>
            <w:pPr>
              <w:pStyle w:val="0"/>
            </w:pPr>
            <w:r>
              <w:rPr>
                <w:sz w:val="24"/>
              </w:rPr>
              <w:t xml:space="preserve">Руководитель реабилитационного подразделения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Куратор реабилитационной (абилитационной) программы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6690"/>
      </w:tblGrid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образованию и обучению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Высшее образование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опыту практической работы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трех лет по профилю профессиональной деятельности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Особые условия допуска к работе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К трудовой деятельности с участием несовершеннолетних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Отсутствие заболеваний, предусмотренных перечнем, утверждаемым федеральным органом исполнительной власти, который осуществляет функции по выработке государственной политики и нормативному правовому регулированию в области здравоохранения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Дополнительные характеристики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1304"/>
        <w:gridCol w:w="5443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54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базовой группы, должности (профессии) или специальности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hyperlink w:history="0" r:id="rId28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29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2634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ЕКС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реабилитационно-оздоровительного центра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hyperlink w:history="0" r:id="rId3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ОКПДТР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3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25883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3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26588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</w:tr>
      <w:tr>
        <w:tc>
          <w:tcPr>
            <w:tcW w:w="2324" w:type="dxa"/>
            <w:tcBorders>
              <w:bottom w:val="nil"/>
            </w:tcBorders>
            <w:vMerge w:val="restart"/>
          </w:tcPr>
          <w:p>
            <w:pPr>
              <w:pStyle w:val="0"/>
            </w:pPr>
            <w:hyperlink w:history="0" r:id="rId3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ОКСО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3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5.37.03.01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3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5.37.04.01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3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5.37.05.01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Клиническая психология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В официальном тексте документа, видимо, допущена опечатка: имеется в виду код 5.39.03.02, а не 6.39.03.02.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23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</w:pPr>
            <w:hyperlink w:history="0" r:id="rId3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6.39.03.02</w:t>
              </w:r>
            </w:hyperlink>
          </w:p>
        </w:tc>
        <w:tc>
          <w:tcPr>
            <w:tcW w:w="5443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Социальная работа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3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5.39.04.02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работа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3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6.44.03.02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Психолого-педагогическое образование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4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6.44.04.02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Психолого-педагогическое образование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4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6.44.03.03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Специальное (дефектологическое) образование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4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6.44.04.03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Специальное (дефектологическое) образование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4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6.44.05.01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Педагогика и психология девиантного поведения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3.2.1.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реабилитационного (абилитационного) случая и управление им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B/01.7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1191"/>
        <w:gridCol w:w="510"/>
        <w:gridCol w:w="1587"/>
        <w:gridCol w:w="1191"/>
        <w:gridCol w:w="221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381" w:type="dxa"/>
            <w:vAlign w:val="center"/>
            <w:tcBorders>
              <w:top w:val="nil"/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38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54"/>
        <w:gridCol w:w="6917"/>
      </w:tblGrid>
      <w:tr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населения о целях, задачах, методах и мероприятиях социальной реабилитации (абилитации)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комплексной квалификации реабилитационного случая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состава междисциплинарной команды в соответствии с реабилитационным (абилитационным) случаем, обеспечение ее участия в работе в рамках реабилитационного (абилитационного) случая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Координирование и управление деятельностью междисциплинарной команды по разработке индивидуальных программ реабилитации или абилитации инвалидов (детей-инвалидов)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комплекса мероприятий социальной реабилитации (абилитации)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и проведение конференций (консилиумов) междисциплинарной команды по обсуждению эффективных практик по социальной реабилитации (абилитации) и составлению, коррекции, утверждению, мониторингу и оценке эффективности индивидуальных программ реабилитации или абилитации инвалидов (детей-инвалидов)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Оформление локальных нормативных актов в соответствии с задачами социальной реабилитации (абилитации)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и управление работой реабилитационной команды, реализующей мероприятия по социальной реабилитации (абилитации) и оценка результатов ее деятельности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обеспечения лиц, в отношении которых осуществляются мероприятия по социальной реабилитации (абилитации), необходимым оборудованием, техническими средствами реабилитации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обеспечения доступа несовершеннолетних лиц, лиц трудоспособного возраста и лиц пенсионного возраста к мероприятиям социальной реабилитации (абилитации)</w:t>
            </w:r>
          </w:p>
        </w:tc>
      </w:tr>
      <w:tr>
        <w:tc>
          <w:tcPr>
            <w:tcW w:w="215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оценки уровня изменений в состоянии здоровья и (или) жизненной ситуации в соответствии с прогнозными показателями, при необходимости корректировка перечня мероприятий социальной реабилитации (абилитации), в том числе в рамках индивидуальных программ реабилитации или абилитации инвалидов (детей-инвалидов)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Выяснение удовлетворенности лица, в отношении которого осуществляются мероприятия по социальной реабилитации (абилитации), и его ближайшего окружения достигнутыми результатами социальной реабилитации (абилитации)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и разрешение спорных вопросов, возникающих в ходе проведения мероприятий социальной реабилитации (абилитации)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переоценки мероприятий социальной реабилитации (абилитации), если не удалось достигнуть прогнозных показателей индивидуальных программ реабилитации или абилитации инвалидов (детей-инвалидов)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Рассмотрение жалоб лиц, в отношении которых осуществляются мероприятия по социальной реабилитации (абилитации)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Оценивание соответствия рекомендаций специалистов междисциплинарной команды для завершения проведения мероприятий социальной ребилитации (абилитации)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Оценивание инфраструктуры населенного пункта в целях обеспечения работы по поддержке несовершеннолетних лиц, лиц трудоспособного возраста и лиц пенсионного возраста по завершении мероприятий социальной реабилитации (абилитации)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поддержки несовершеннолетних лиц, лиц трудоспособного возраста и лиц пенсионного возраста по завершении мероприятий социальной реабилитации (абилитации)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Мониторинг результатов социальной реабилитации после завершения мероприятий социальной реабилитации (абилитации)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Проверка отчетов специалистов по завершении проведения мероприятий социальной реабилитации (абилитации), документирование хода и результатов социальной реабилитации (абилитации)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Планирование деятельности по выполнению мероприятий социальной реабилитации (абилитации)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методических материалов по внедрению инновационных технологий и методов социальной реабилитации (абилитации)</w:t>
            </w:r>
          </w:p>
        </w:tc>
      </w:tr>
      <w:tr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информацию об ограничениях жизнедеятельности, личных особенностях, жизненной ситуации лиц, в отношении которых осуществляются мероприятия по социальной реабилитации (абилитации)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и учитывать уровень достоверности и полноты собранной информации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Выявлять провоцирующие факторы (условия), которые могут оказать влияние на ход и результаты социальной реабилитации (абилитации)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Привлекать, аккумулировать, мобилизовывать ресурсы межведомственной реабилитационной инфраструктуры для решения задач социальной реабилитации (абилитации)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переговоры и согласовывать главные цели, задачи, мероприятия индивидуальных программ реабилитации или абилитации инвалидов (детей-инвалидов) со всеми участниками, организовывать продуктивное взаимодействие в междисциплинарной команде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уровень соответствия используемых методов социальной реабилитации (абилитации) актуальному состоянию гражданина, уровню его реагирования, развития (регресса), возраста, образования, социального статуса, дееспособности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мероприятия, соответствующие потребностям здоровья лиц, в отношении которых осуществляются мероприятия по социальной реабилитации (абилитации), с соблюдением мер физической, психологической, социальной безопасности, обеспечивать профилактику инфицирования, психических травм и других травмирующих обстоятельств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Собирать информацию о ходе процесса социальной реабилитации (абилитации) от всех участников реабилитационного процесса, выяснять мнение лиц, в отношении которых осуществляются мероприятия по социальной реабилитации (абилитации), о качестве и объеме проводимых мероприятий социальной реабилитации (абилитации)</w:t>
            </w:r>
          </w:p>
        </w:tc>
      </w:tr>
      <w:tr>
        <w:tc>
          <w:tcPr>
            <w:tcW w:w="215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Мотивировать лиц, в отношении которых осуществляются мероприятия по социальной реабилитации (абилитации), (законных (уполномоченных) представителей) на активное участие в реабилитационном (абилитационном) процессе, вырабатывание собственной ответственной позиции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Обсуждать с лицами, в отношении которых осуществляются мероприятия по социальной реабилитации (абилитации), и значимыми членами их окружения ограничения и ресурсы, пользоваться способами мобилизации ресурсов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Диагностировать уровни риска, связанного с состоянием здоровья, социальной и психологической дезадаптацией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методы конфликтологии для урегулирования отношений и согласования индивидуальных программ со всеми участниками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информацию, полученную от получателей и поставщиков социальных услуг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методы контроля объема и качества мероприятий социальной реабилитации (абилитации)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информационные технологии для автоматизации деятельности организаций, принимающих участие в процессе социальной реабилитации (абилитации)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программы и проекты, направленные на повышение качества оказания мероприятий социальной реабилитации (абилитации)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эффективность деятельности специалистов реабилитационной команды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различные виды опросов населения и экспертных опросов, направленных на выявление качества и эффективности мероприятий социальной реабилитации (абилитации)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Подготавливать презентационные и информационно-аналитические материалы, справки о деятельности по проведению мероприятий социальной реабилитации (абилитации)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локальные нормативные акты о проведении мероприятий социальной реабилитации (абилитации)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Оформлять локальные нормативные акты</w:t>
            </w:r>
          </w:p>
        </w:tc>
      </w:tr>
      <w:tr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области социальной защиты и социального обслуживания населения, в том числе порядок разработки и реализации индивидуальной программы реабилитации и абилитации инвалида,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акты, выдаваемые федеральными государственными учреждениями медико-социальной экспертизы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Национальные стандарты в области предоставления социальных услуг населению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области трудового, гражданского и семейного законодательства, защиты персональных данных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Общероссийский базовый (отраслевой) перечень (классификатор) государственных и муниципальных услуг, оказываемых физическим лицам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Руководящие принципы, приоритеты социальной политики, оказывающие влияние на ведение реабилитационной практики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Критерии оценки реабилитационной инфраструктуры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диагностики лиц с ограниченными возможностями здоровья, а также с нарушениями социализации, виды и процедуры прохождения экспертиз: временной нетрудоспособности, медико-социальной, военно-врачебной, судебно-медицинской, судебно-психиатрической, судебно-психологической, профессиональной пригодности и экспертизы связи заболевания с профессией, генетической экспертизы, качества медицинской помощи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Назначение, критерии отбора и способы использования психодиагностических методик, необходимых для обследований; показания и противопоказания к их использованию в соответствии с состоянием здоровья, возрастом, уровнем потенциального и актуального развития, образования, культуры лиц, в отношении которых осуществляются мероприятия по социальной реабилитации (абилитации); технологии мониторинга и оценки результатов социальной реабилитации (абилитации)</w:t>
            </w:r>
          </w:p>
        </w:tc>
      </w:tr>
      <w:tr>
        <w:tc>
          <w:tcPr>
            <w:tcW w:w="215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принципы подбора методов социальной реабилитации (абилитации) с учетом реабилитационного потенциала; основные (в том числе инновационные) методы социальной реабилитации (абилитации); социальное, эмоциональное и психологическое влияние нарушений развития, приобретенных дефектов, инвалидности, последствий ранней депривации и психологической травматизации на личность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hyperlink w:history="0" r:id="rId44" w:tooltip="Приказ Минтруда России от 18.09.2024 N 466н (ред. от 29.09.2025)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 {КонсультантПлюс}">
              <w:r>
                <w:rPr>
                  <w:sz w:val="24"/>
                  <w:color w:val="0000ff"/>
                </w:rPr>
                <w:t xml:space="preserve">Порядок</w:t>
              </w:r>
            </w:hyperlink>
            <w:r>
              <w:rPr>
                <w:sz w:val="24"/>
              </w:rPr>
              <w:t xml:space="preserve"> разработки и реализации индивидуальной программы реабилитации или абилитации инвалида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Способы мотивации лиц, в отношении которых осуществляются мероприятия по социальной реабилитации (абилитации), на эффективное взаимодействие со специалистами и принятие ответственности за ход и результаты реабилитации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Техники ведения переговоров и разрешения конфликтных ситуаций с лицами, в отношении которых осуществляются мероприятия по социальной реабилитации (абилитации), членами их семьей, лицами, осуществляющими уход, специалистами различных служб и организаций, представителями исполнительной, законодательной и судебной власти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Психологические основы социального взаимодействия, направленного на решение профессиональных задач; основные принципы организации деловых контактов; основные концепции взаимодействия людей в организации, особенности диадического взаимодействия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Техники общения с лицами с ограниченными возможностями здоровья (сенсорными, психическими нарушениями)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Локальные нормативные акты, необходимые для проведения мероприятий социальной реабилитации (абилитации)</w:t>
            </w:r>
          </w:p>
        </w:tc>
      </w:tr>
      <w:tr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Соблюдение правил профессиональной этики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3.2.2.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Планирование, координация и оценка реабилитационных (абилитационных) мероприятий, управление реабилитационными (абилитационными) мероприятиями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B/02.7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1191"/>
        <w:gridCol w:w="510"/>
        <w:gridCol w:w="1587"/>
        <w:gridCol w:w="1191"/>
        <w:gridCol w:w="221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381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54"/>
        <w:gridCol w:w="6917"/>
      </w:tblGrid>
      <w:tr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направлений, планирование деятельности учреждений по проведению мероприятий социальной реабилитации (абилитации)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Постановка целей и определение перечня мероприятий социальной реабилитации (абилитации)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Координация и управление проведением мероприятий социальной реабилитации (абилитации)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Руководство и координация распределения трудовых ресурсов, координация профессионального развития работников, реализующих мероприятия социальной реабилитации (абилитации)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органов государственной власти о мерах социальной реабилитации (абилитации) по улучшению здоровья, мероприятиях и средствах социальной реабилитации (абилитации)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Взаимодействие с органами управления, представителями общественности и учреждениями для обсуждения вопросов сотрудничества и координации деятельности, в том числе в рамках межведомственного взаимодействия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Оформление локальных нормативных актов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Представительство от имени организации на переговорах с учреждениями, на съездах, семинарах, общественных слушаниях и форумах</w:t>
            </w:r>
          </w:p>
        </w:tc>
      </w:tr>
      <w:tr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и применять государственные кодексы, а также разрабатывать процедуры исполнения нормативных правовых актов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и реализовывать мероприятия социальной реабилитации (абилитации)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Отбирать инструментарий, средства и методы оценки и контроля качества и безопасности проведения мероприятий социальной реабилитации (абилитации)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руководство работой специалистов и персонала учреждения, контроль и оценку их работы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результаты реализации мероприятий по социальной реабилитации (абилитации)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Подготавливать и вести учет, составлять отчеты о проделанной работе</w:t>
            </w:r>
          </w:p>
        </w:tc>
      </w:tr>
      <w:tr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отчетности, периодичности, качеству и условиям проведения реабилитационных (абилитационных) мероприятий в социальной сфере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междисциплинарной реабилитационной команды, методы продуктивного командного взаимодействия, курирования и координирования работы команды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Критерии оценки эффективности реализации реабилитационных (абилитационных)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подбора, оценки квалификации и аттестации персонала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принципы, типы, стратегии и тактические приемы ведения переговоров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Способы поиска профессиональной поддержки и информационных ресурсов в случае, если ситуация выходит за рамки профессиональной компетенции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Экономические, правовые, организационные основы различных видов обязательного государственного и негосударственного страхования и процедуры их оформления, возможности использования для целей и задач реабилитации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единой системы межведомственного электронного взаимодействия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социального проектирования, моделирования и прогнозирования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и технологии управления социальными рисками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делопроизводства и документооборота</w:t>
            </w:r>
          </w:p>
        </w:tc>
      </w:tr>
      <w:tr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профессиональной этики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3.2.3.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специалистов организаций социальной сферы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B/03.7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1191"/>
        <w:gridCol w:w="510"/>
        <w:gridCol w:w="1587"/>
        <w:gridCol w:w="1191"/>
        <w:gridCol w:w="221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381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54"/>
        <w:gridCol w:w="6917"/>
      </w:tblGrid>
      <w:tr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обучающих семинаров, тренингов, мастер-классов для специалистов учреждений социальной сферы, а также иных организаций, реализующих мероприятия индивидуальной программы реабилитации или абилитации инвалида (ребенка-инвалида), по вопросам ведения социальной реабилитации (абилитации), организации труда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и супервизия деятельности специалистов учреждений социальной сферы, а также иных организаций, реализующих мероприятия индивидуальной программы реабилитации или абилитации инвалида (ребенка-инвалида), профессиональная поддержка членов реабилитационных команд, участвующих в реализации реабилитационных (абилитационных)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Оформление локальных нормативных актов</w:t>
            </w:r>
          </w:p>
        </w:tc>
      </w:tr>
      <w:tr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основные методы супервизии, выстраивать модели ее организации и проведения в соответствии с изменяющимися потребностями специалистов и применять на практике принципы, методы и приемы супервизии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Наблюдать и оценивать эффективность деятельности специалиста, правильность выполнения процедур и методов в соответствии с действующими нормативными правовыми актами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уровень квалификации специалиста, уровень владения им практическими навыками, оценивать качество его знаний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Подготавливать для специалистов информацию, способствующую повышению уровня их квалификации и качества реабилитационных (абилитационных)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на практике методы обучения взрослых, коучинга, повышения эффективности командного взаимодействия, профилактики профессионального выгорания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Выделять в работе специалистов малопродуктивные области профессиональной деятельности, аккумулировать усилия специалистов по их совершенствованию</w:t>
            </w:r>
          </w:p>
        </w:tc>
      </w:tr>
      <w:tr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Принципы, методы, виды, процедуры и практики супервизии в психологии, социальной работе, администрировании и смежных областях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Методы, способы и практики оценки знаний, умений и ценностного отношения к своей работе специалистов социальной сферы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Методологические подходы, методики и практики обучения взрослых, индивидуального наставничества, повышения эффективности командного взаимодействия, профилактики профессионального выгорания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конфиденциальности информации, хранению и оперированию персональными личными данными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принципы, типы, стратегии и тактические приемы ведения переговоров</w:t>
            </w:r>
          </w:p>
        </w:tc>
      </w:tr>
      <w:tr>
        <w:tc>
          <w:tcPr>
            <w:vMerge w:val="continue"/>
          </w:tcPr>
          <w:p/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Способы поиска профессиональной поддержки и информационных ресурсов в случае, если ситуация выходит за рамки профессиональной компетенции</w:t>
            </w:r>
          </w:p>
        </w:tc>
      </w:tr>
      <w:tr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профессиональной этики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Сведения об организациях - разработчиках</w:t>
      </w:r>
    </w:p>
    <w:p>
      <w:pPr>
        <w:pStyle w:val="2"/>
        <w:jc w:val="center"/>
      </w:pPr>
      <w:r>
        <w:rPr>
          <w:sz w:val="24"/>
        </w:rPr>
        <w:t xml:space="preserve">профессионального стандарта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4.1. Ответственная организация-разработчик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55"/>
        <w:gridCol w:w="3516"/>
      </w:tblGrid>
      <w:tr>
        <w:tc>
          <w:tcPr>
            <w:gridSpan w:val="2"/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ФГБОУ ВО "Московский государственный психолого-педагогический университет", город Москва</w:t>
            </w:r>
          </w:p>
        </w:tc>
      </w:tr>
      <w:tr>
        <w:tc>
          <w:tcPr>
            <w:tcW w:w="5555" w:type="dxa"/>
            <w:tcBorders>
              <w:left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Ректор</w:t>
            </w:r>
          </w:p>
        </w:tc>
        <w:tc>
          <w:tcPr>
            <w:tcW w:w="3516" w:type="dxa"/>
            <w:tcBorders>
              <w:left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Марголис Аркадий Аронович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4.2. Наименования организаций-разработчиков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504"/>
      </w:tblGrid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муниципального округа Западное Дегунино,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муниципального округа Орехово-Борисово Северное,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АНО "Центр Новых Медицинских Технологий в Академгородке", город Новосибирск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АНОО ВО "Институт социального образования", город Воронеж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Благотворительный фонд "Надежда", город Владимир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БУЗ Воронежской области "Воронежский областной центр по профилактике и борьбе со СПИД и инфекционными заболеваниями", город Воронеж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ГАУЗ "Городская клиническая больница имени Н.И. Пирогова", город Оренбург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ГБО учебно-методический центр "Детство" по проблемам опеки, попечительства и социально-педагогической реабилитации детей и подростков департамента социальной защиты населения города Москвы,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ГБОУ "Детский дом N 59",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ГБОУ "Краевой психологический центр" департамента социальной защиты населения Ставропольского края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ГБОУ Владимирской области "Центр усыновления и опеки", город Владимир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ГБОУ ВПО "Омская государственная медицинская академия", город Омск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ГБОУ ВПО "Нижегородская государственная медицинская академия", город Нижний Новгород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ГБОУ ВПО "Оренбургская государственная медицинская академия", город Оренбург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ГБОУ ВПО "Тверская государственная медицинская академия", город Тверь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ГБОУ ВПО "Южно-Уральский государственный медицинский университет", город Челябинск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ГБОУ города Москвы "Центр психолого-медико-социального сопровождения",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ГБОУ для детей-сирот и детей, оставшихся без попечения родителей "Салтыковский детский дом", город Железнодорожный, Московская область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ГБОУ ДПО "Новокузнецкий государственный институт усовершенствования врачей", город Новокузнецк, Кемеровская область - Кузбасс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ГБУ кризисный центр для женщин "Надежда",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ГБУ "Городской ресурсный центр поддержки семьи и детства "Отрадное",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ГБУ "СРЦ для несовершеннолетних "Хорошево-Мневники",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ГБУ Владимирской области "Центр усыновления и опеки", город Владимир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"Центр содействия семейному воспитанию "Наш дом",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ГБУВУ "Социальный приют для детей и подростков", деревня Радужная, Московская область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"Городская детская клиническая больница N 13 имени Н.Ф. Филатова",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"Городская поликлиника N 22",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"Детская городская клиническая больница N 9 имени Г.Н. Сперанского",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"Детская поликлиника N 32",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ГБУЗ Нижегородской области "Детская городская клиническая больница N 1", город Нижний Новгород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ГБУЗ Нижегородской области "Лысковская центральная районная больница", город Лысково, Нижегородская область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ГКОУ "Детский дом N 1", город Кострома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ГКОУ КО "Центр содействия семейному устройству и сопровождения", город Калуга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ГКУ "Детский дом-интернат для умственно отсталых детей N 21" Департамента социальной защиты населения,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ГКУ "Камешковский детский дом" город Камешково, Владимирская область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ГКУ РС (Я) "Центр развития семейного устройства и социализации детей-сирот и детей, оставшихся без попечения родителей", город Якутск, Республика Саха (Якутия)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ГКУЗ Пермского края "Пермский краевой центр по профилактике и борьбе с СПИД и инфекционными заболеваниями", город Пермь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ГОУ ВО Московской области "Московский государственный областной университет"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ГУ "Тверской областной центр социальной помощи семье и детям", город Тверь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ГУЗ "Областной центр по профилактике и борьбе со СПИД и инфекционными заболеваниями", город Ульяновск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образования Кировской области, город Киров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 населения опеки и попечительства Костромской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ЗАО "Сандоз",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Институт труда и социального страхования ФГБОУ ВПО "Российская академия народного хозяйства и государственной службы при Президенте Российской Федерации",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МБЛПУ "Зональный перинатальный центр", город Новокузнецк, Кемеровская область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образования Оренбургской области, город Оренбург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образования Хабаровского края, город Хабаровск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социального развития Пермского края, город Пермь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социальной политики Свердловской области, город Екатеринбург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МЛПУ "Городская клиническая больница N 39", город Нижний Новгород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ММЛПУ "Городская Поликлиника N 8", город Тюмень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МОУ "Удельнинский специальный (коррекционный) детский дом для детей-сирот и детей, оставшихся без попечения родителей", город Раменское, Московская область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МУ "Центр психолого-медицинской и социальной помощи "Доверие", город Ярославль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ГКУ Московской области Центр психолого-педагогической, медицинской и социальной помощи, Московская область, Люберецкий район, поселок Малаховка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Нижегородский институт управления - филиал ФГБОУ ВПО "Российская академия народного хозяйства и государственной службы при Президенте Российской Федерации", город Нижний Новгород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НИИ акушерства и педиатрии ФГБОУ ВО "Ростовский государственный медицинский университет" Министерства здравоохранения Российской Федерации, город Ростов-на-Дону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НОУ ВПО "Московский психолого-социальный университет",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НОУ ВПО "Столичная финансово-гуманитарная академия",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Общероссийская общественная организация "Федерация психологов образования России",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Одинцовское зональное объединение Областного центра сопровождения замещающих семей Московской области ГОУ ВПО "Московский государственный областной социально-гуманитарный институт", город Одинцово, Московская область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ООО "Тонус КРОХА", город Нижний Новгород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ООО МЭДИС,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опеки и попечительства администрации МО "Вельский муниципальный район", город Вельск, Архангельская область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64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опеки и попечительства Министерства образования Московской области по Коломенскому муниципальному району, город Коломна, Московская область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опеки и попечительства по Ступинскому району Московской области, город Ступино, Московская область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охраны прав несовершеннолетних комитет по образованию администрации, город Мурманск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ПСУ СРЦ "Красносельский" ЦАО Москвы,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РОО содействия развитию социальной инициативы "Общество детям",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Социально-реабилитационный центр для несовершеннолетних ВАО,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Ступинское зональное объединение Областного центра сопровождения замещающих семей Московской области ГОУ ВПО "Московский государственный областной социально-гуманитарный институт", город Ступино, Московская область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Управление опеки и попечительства Министерства образования по Воскресенскому муниципальному району, город Воскресенск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Управление социальной защиты населения района Хамовники города Москвы,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Учреждение Российской академии наук "Институт иммунологии и физиологии" Уральского отделения РАН, город Екатеринбург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Учреждение Российской академии наук "Институт экологии и генетики микроорганизмов" Уральского отделения РАН, город Пермь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ФГАОУ ВПО "Балтийский федеральный университет имени Иммануила Канта", город Калининград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ФГБОУ ВО "Уральский государственный педагогический университет", город Екатеринбург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ФГБОУ ВПО "Волгоградский государственный социально-педагогический университет", город Волгоград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ФГБОУ ВПО "Нижегородский государственный университет имени Н.И. Лобачевского", город Нижний Новгород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ФГБУ "Ивановский научно-исследовательский институт материнства и детства имени В.Н. Городкова", город Иваново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ФГБУ "Научно-исследовательский институт эпидемиологии и микробиологии имени почетного академика Н.Ф. Гамалеи",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ФГБУ "Нижегородский НИИ детской гастроэнтерологии", город Нижний Новгород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ФГБУ "НИИ клинической иммунологии" Сибирского отделения РАМН, город Новосибирск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ФГБУ "НИИ молекулярной биологии и биофизики" Сибирского отделения РАМН, город Новосибирск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ФГБУ "Новосибирский научно-исследовательский институт травматологии и ортопедии имени Я.Л. Цивьяна", город Новосибирск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ФГБУ "Санкт-Петербургский научно-практический центр медико-социальной экспертизы, протезирования и реабилитации инвалидов имени Г.А. Альбрехта" Минтруда России, город Санкт-Петербург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ФГБУ "Федеральное бюро медико-социальной экспертизы" Минтруда России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88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ФГНУ "Институт семьи и воспитания", город Москва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89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ФГУП "Государственный научно-исследовательский институт особо чистых биопрепаратов", город Санкт-Петербург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по развитию семейных форм устройства детей-сирот и детей, оставшихся без попечения родителей ТОГБУ "Мы ради будущего", город Тамбов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сопровождения замещающих семей ГОУ ВПО "Московский государственный областной социально-гуманитарный институт", город Коломна, Московская область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904" w:name="P904"/>
    <w:bookmarkEnd w:id="9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Общероссийский </w:t>
      </w:r>
      <w:hyperlink w:history="0" r:id="rId45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занятий.</w:t>
      </w:r>
    </w:p>
    <w:bookmarkStart w:id="905" w:name="P905"/>
    <w:bookmarkEnd w:id="9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46" w:tooltip="&quot;Трудовой кодекс Российской Федерации&quot; от 30.12.2001 N 197-ФЗ (ред. от 28.12.2025) {КонсультантПлюс}">
        <w:r>
          <w:rPr>
            <w:sz w:val="24"/>
            <w:color w:val="0000ff"/>
          </w:rPr>
          <w:t xml:space="preserve">Статья 351.1</w:t>
        </w:r>
      </w:hyperlink>
      <w:r>
        <w:rPr>
          <w:sz w:val="24"/>
        </w:rPr>
        <w:t xml:space="preserve"> Трудового кодекса Российской Федерации (Собрание законодательства Российской Федерации, 2002, N 1, ст. 3; 2015, N 29, ст. 4363).</w:t>
      </w:r>
    </w:p>
    <w:bookmarkStart w:id="906" w:name="P906"/>
    <w:bookmarkEnd w:id="9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47" w:tooltip="Постановление Правительства РФ от 28.04.1993 N 377 (ред. от 23.09.2002) &quot;О реализации Закона Российской Федерации &quot;О психиатрической помощи и гарантиях прав граждан при ее оказании&quot; (вместе с &quot;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Совета Министров - Правительства Российской Федерации от 28 апреля 1993 г. N 377 "О реализации Закона Российской Федерации "О психиатрической помощи и гарантиях прав граждан при ее оказании" (Собрание актов Президента и Правительства Российской Федерации, 1993, N 18, ст. 1602; 2002, N 39, ст. 3796).</w:t>
      </w:r>
    </w:p>
    <w:bookmarkStart w:id="907" w:name="P907"/>
    <w:bookmarkEnd w:id="9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Единый квалификационный справочник должностей руководителей, специалистов и служащих.</w:t>
      </w:r>
    </w:p>
    <w:bookmarkStart w:id="908" w:name="P908"/>
    <w:bookmarkEnd w:id="9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Общероссийский </w:t>
      </w:r>
      <w:hyperlink w:history="0" r:id="rId4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профессий рабочих, должностей служащих и тарифных разрядов.</w:t>
      </w:r>
    </w:p>
    <w:bookmarkStart w:id="909" w:name="P909"/>
    <w:bookmarkEnd w:id="9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Общероссийский </w:t>
      </w:r>
      <w:hyperlink w:history="0" r:id="rId4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специальностей по образованию.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18.06.2020 N 352н</w:t>
            <w:br/>
            <w:t>"Об утверждении профессионального стандарта "Специалист по реабилитационной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99529&amp;date=26.01.2026&amp;dst=9&amp;field=134" TargetMode = "External"/><Relationship Id="rId9" Type="http://schemas.openxmlformats.org/officeDocument/2006/relationships/hyperlink" Target="https://login.consultant.ru/link/?req=doc&amp;base=LAW&amp;n=156951&amp;date=26.01.2026" TargetMode = "External"/><Relationship Id="rId10" Type="http://schemas.openxmlformats.org/officeDocument/2006/relationships/hyperlink" Target="https://login.consultant.ru/link/?req=doc&amp;base=LAW&amp;n=386337&amp;date=26.01.2026&amp;dst=100605&amp;field=134" TargetMode = "External"/><Relationship Id="rId11" Type="http://schemas.openxmlformats.org/officeDocument/2006/relationships/hyperlink" Target="https://login.consultant.ru/link/?req=doc&amp;base=LAW&amp;n=386337&amp;date=26.01.2026" TargetMode = "External"/><Relationship Id="rId12" Type="http://schemas.openxmlformats.org/officeDocument/2006/relationships/hyperlink" Target="https://login.consultant.ru/link/?req=doc&amp;base=LAW&amp;n=386337&amp;date=26.01.2026" TargetMode = "External"/><Relationship Id="rId13" Type="http://schemas.openxmlformats.org/officeDocument/2006/relationships/hyperlink" Target="https://login.consultant.ru/link/?req=doc&amp;base=LAW&amp;n=386337&amp;date=26.01.2026" TargetMode = "External"/><Relationship Id="rId14" Type="http://schemas.openxmlformats.org/officeDocument/2006/relationships/hyperlink" Target="https://login.consultant.ru/link/?req=doc&amp;base=LAW&amp;n=386337&amp;date=26.01.2026&amp;dst=100605&amp;field=134" TargetMode = "External"/><Relationship Id="rId15" Type="http://schemas.openxmlformats.org/officeDocument/2006/relationships/hyperlink" Target="https://login.consultant.ru/link/?req=doc&amp;base=LAW&amp;n=135996&amp;date=26.01.2026&amp;dst=100010&amp;field=134" TargetMode = "External"/><Relationship Id="rId16" Type="http://schemas.openxmlformats.org/officeDocument/2006/relationships/hyperlink" Target="https://login.consultant.ru/link/?req=doc&amp;base=LAW&amp;n=135996&amp;date=26.01.2026&amp;dst=107058&amp;field=134" TargetMode = "External"/><Relationship Id="rId17" Type="http://schemas.openxmlformats.org/officeDocument/2006/relationships/hyperlink" Target="https://login.consultant.ru/link/?req=doc&amp;base=LAW&amp;n=212200&amp;date=26.01.2026" TargetMode = "External"/><Relationship Id="rId18" Type="http://schemas.openxmlformats.org/officeDocument/2006/relationships/hyperlink" Target="https://login.consultant.ru/link/?req=doc&amp;base=LAW&amp;n=212200&amp;date=26.01.2026&amp;dst=103036&amp;field=134" TargetMode = "External"/><Relationship Id="rId19" Type="http://schemas.openxmlformats.org/officeDocument/2006/relationships/hyperlink" Target="https://login.consultant.ru/link/?req=doc&amp;base=LAW&amp;n=212200&amp;date=26.01.2026&amp;dst=103893&amp;field=134" TargetMode = "External"/><Relationship Id="rId20" Type="http://schemas.openxmlformats.org/officeDocument/2006/relationships/hyperlink" Target="https://login.consultant.ru/link/?req=doc&amp;base=LAW&amp;n=212200&amp;date=26.01.2026&amp;dst=104646&amp;field=134" TargetMode = "External"/><Relationship Id="rId21" Type="http://schemas.openxmlformats.org/officeDocument/2006/relationships/hyperlink" Target="https://login.consultant.ru/link/?req=doc&amp;base=LAW&amp;n=212200&amp;date=26.01.2026&amp;dst=103084&amp;field=134" TargetMode = "External"/><Relationship Id="rId22" Type="http://schemas.openxmlformats.org/officeDocument/2006/relationships/hyperlink" Target="https://login.consultant.ru/link/?req=doc&amp;base=LAW&amp;n=212200&amp;date=26.01.2026&amp;dst=103084&amp;field=134" TargetMode = "External"/><Relationship Id="rId23" Type="http://schemas.openxmlformats.org/officeDocument/2006/relationships/hyperlink" Target="https://login.consultant.ru/link/?req=doc&amp;base=LAW&amp;n=212200&amp;date=26.01.2026&amp;dst=103168&amp;field=134" TargetMode = "External"/><Relationship Id="rId24" Type="http://schemas.openxmlformats.org/officeDocument/2006/relationships/hyperlink" Target="https://login.consultant.ru/link/?req=doc&amp;base=LAW&amp;n=212200&amp;date=26.01.2026&amp;dst=103172&amp;field=134" TargetMode = "External"/><Relationship Id="rId25" Type="http://schemas.openxmlformats.org/officeDocument/2006/relationships/hyperlink" Target="https://login.consultant.ru/link/?req=doc&amp;base=LAW&amp;n=212200&amp;date=26.01.2026&amp;dst=104029&amp;field=134" TargetMode = "External"/><Relationship Id="rId26" Type="http://schemas.openxmlformats.org/officeDocument/2006/relationships/hyperlink" Target="https://login.consultant.ru/link/?req=doc&amp;base=LAW&amp;n=212200&amp;date=26.01.2026&amp;dst=104033&amp;field=134" TargetMode = "External"/><Relationship Id="rId27" Type="http://schemas.openxmlformats.org/officeDocument/2006/relationships/hyperlink" Target="https://login.consultant.ru/link/?req=doc&amp;base=LAW&amp;n=212200&amp;date=26.01.2026&amp;dst=104682&amp;field=134" TargetMode = "External"/><Relationship Id="rId28" Type="http://schemas.openxmlformats.org/officeDocument/2006/relationships/hyperlink" Target="https://login.consultant.ru/link/?req=doc&amp;base=LAW&amp;n=386337&amp;date=26.01.2026" TargetMode = "External"/><Relationship Id="rId29" Type="http://schemas.openxmlformats.org/officeDocument/2006/relationships/hyperlink" Target="https://login.consultant.ru/link/?req=doc&amp;base=LAW&amp;n=386337&amp;date=26.01.2026&amp;dst=100605&amp;field=134" TargetMode = "External"/><Relationship Id="rId30" Type="http://schemas.openxmlformats.org/officeDocument/2006/relationships/hyperlink" Target="https://login.consultant.ru/link/?req=doc&amp;base=LAW&amp;n=135996&amp;date=26.01.2026&amp;dst=100010&amp;field=134" TargetMode = "External"/><Relationship Id="rId31" Type="http://schemas.openxmlformats.org/officeDocument/2006/relationships/hyperlink" Target="https://login.consultant.ru/link/?req=doc&amp;base=LAW&amp;n=135996&amp;date=26.01.2026&amp;dst=107058&amp;field=134" TargetMode = "External"/><Relationship Id="rId32" Type="http://schemas.openxmlformats.org/officeDocument/2006/relationships/hyperlink" Target="https://login.consultant.ru/link/?req=doc&amp;base=LAW&amp;n=135996&amp;date=26.01.2026&amp;dst=107206&amp;field=134" TargetMode = "External"/><Relationship Id="rId33" Type="http://schemas.openxmlformats.org/officeDocument/2006/relationships/hyperlink" Target="https://login.consultant.ru/link/?req=doc&amp;base=LAW&amp;n=212200&amp;date=26.01.2026" TargetMode = "External"/><Relationship Id="rId34" Type="http://schemas.openxmlformats.org/officeDocument/2006/relationships/hyperlink" Target="https://login.consultant.ru/link/?req=doc&amp;base=LAW&amp;n=212200&amp;date=26.01.2026&amp;dst=103036&amp;field=134" TargetMode = "External"/><Relationship Id="rId35" Type="http://schemas.openxmlformats.org/officeDocument/2006/relationships/hyperlink" Target="https://login.consultant.ru/link/?req=doc&amp;base=LAW&amp;n=212200&amp;date=26.01.2026&amp;dst=103893&amp;field=134" TargetMode = "External"/><Relationship Id="rId36" Type="http://schemas.openxmlformats.org/officeDocument/2006/relationships/hyperlink" Target="https://login.consultant.ru/link/?req=doc&amp;base=LAW&amp;n=212200&amp;date=26.01.2026&amp;dst=104646&amp;field=134" TargetMode = "External"/><Relationship Id="rId37" Type="http://schemas.openxmlformats.org/officeDocument/2006/relationships/hyperlink" Target="https://login.consultant.ru/link/?req=doc&amp;base=LAW&amp;n=212200&amp;date=26.01.2026&amp;dst=103084&amp;field=134" TargetMode = "External"/><Relationship Id="rId38" Type="http://schemas.openxmlformats.org/officeDocument/2006/relationships/hyperlink" Target="https://login.consultant.ru/link/?req=doc&amp;base=LAW&amp;n=212200&amp;date=26.01.2026&amp;dst=103949&amp;field=134" TargetMode = "External"/><Relationship Id="rId39" Type="http://schemas.openxmlformats.org/officeDocument/2006/relationships/hyperlink" Target="https://login.consultant.ru/link/?req=doc&amp;base=LAW&amp;n=212200&amp;date=26.01.2026&amp;dst=103168&amp;field=134" TargetMode = "External"/><Relationship Id="rId40" Type="http://schemas.openxmlformats.org/officeDocument/2006/relationships/hyperlink" Target="https://login.consultant.ru/link/?req=doc&amp;base=LAW&amp;n=212200&amp;date=26.01.2026&amp;dst=104029&amp;field=134" TargetMode = "External"/><Relationship Id="rId41" Type="http://schemas.openxmlformats.org/officeDocument/2006/relationships/hyperlink" Target="https://login.consultant.ru/link/?req=doc&amp;base=LAW&amp;n=212200&amp;date=26.01.2026&amp;dst=103172&amp;field=134" TargetMode = "External"/><Relationship Id="rId42" Type="http://schemas.openxmlformats.org/officeDocument/2006/relationships/hyperlink" Target="https://login.consultant.ru/link/?req=doc&amp;base=LAW&amp;n=212200&amp;date=26.01.2026&amp;dst=104033&amp;field=134" TargetMode = "External"/><Relationship Id="rId43" Type="http://schemas.openxmlformats.org/officeDocument/2006/relationships/hyperlink" Target="https://login.consultant.ru/link/?req=doc&amp;base=LAW&amp;n=212200&amp;date=26.01.2026&amp;dst=104682&amp;field=134" TargetMode = "External"/><Relationship Id="rId44" Type="http://schemas.openxmlformats.org/officeDocument/2006/relationships/hyperlink" Target="https://login.consultant.ru/link/?req=doc&amp;base=LAW&amp;n=517764&amp;date=26.01.2026&amp;dst=100017&amp;field=134" TargetMode = "External"/><Relationship Id="rId45" Type="http://schemas.openxmlformats.org/officeDocument/2006/relationships/hyperlink" Target="https://login.consultant.ru/link/?req=doc&amp;base=LAW&amp;n=386337&amp;date=26.01.2026" TargetMode = "External"/><Relationship Id="rId46" Type="http://schemas.openxmlformats.org/officeDocument/2006/relationships/hyperlink" Target="https://login.consultant.ru/link/?req=doc&amp;base=LAW&amp;n=523253&amp;date=26.01.2026&amp;dst=102617&amp;field=134" TargetMode = "External"/><Relationship Id="rId47" Type="http://schemas.openxmlformats.org/officeDocument/2006/relationships/hyperlink" Target="https://login.consultant.ru/link/?req=doc&amp;base=LAW&amp;n=38854&amp;date=26.01.2026" TargetMode = "External"/><Relationship Id="rId48" Type="http://schemas.openxmlformats.org/officeDocument/2006/relationships/hyperlink" Target="https://login.consultant.ru/link/?req=doc&amp;base=LAW&amp;n=135996&amp;date=26.01.2026&amp;dst=100010&amp;field=134" TargetMode = "External"/><Relationship Id="rId49" Type="http://schemas.openxmlformats.org/officeDocument/2006/relationships/hyperlink" Target="https://login.consultant.ru/link/?req=doc&amp;base=LAW&amp;n=212200&amp;date=26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18.06.2020 N 352н
"Об утверждении профессионального стандарта "Специалист по реабилитационной работе в социальной сфере"
(Зарегистрировано в Минюсте России 20.07.2020 N 59010)</dc:title>
  <dcterms:created xsi:type="dcterms:W3CDTF">2026-01-26T05:09:05Z</dcterms:created>
</cp:coreProperties>
</file>